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仿宋" w:hAnsi="仿宋" w:eastAsia="仿宋"/>
          <w:sz w:val="32"/>
          <w:szCs w:val="32"/>
        </w:rPr>
      </w:pPr>
      <w:r>
        <w:rPr>
          <w:rFonts w:hint="eastAsia" w:ascii="仿宋" w:hAnsi="仿宋" w:eastAsia="仿宋"/>
          <w:sz w:val="32"/>
          <w:szCs w:val="32"/>
        </w:rPr>
        <w:t>招标编号：</w:t>
      </w:r>
    </w:p>
    <w:p>
      <w:pPr>
        <w:spacing w:line="360" w:lineRule="auto"/>
        <w:jc w:val="center"/>
        <w:rPr>
          <w:rFonts w:ascii="仿宋" w:hAnsi="仿宋" w:eastAsia="仿宋"/>
          <w:b/>
          <w:sz w:val="44"/>
          <w:szCs w:val="44"/>
        </w:rPr>
      </w:pPr>
      <w:r>
        <w:rPr>
          <w:rFonts w:hint="eastAsia" w:ascii="仿宋" w:hAnsi="仿宋" w:eastAsia="仿宋"/>
          <w:b/>
          <w:sz w:val="44"/>
          <w:szCs w:val="44"/>
        </w:rPr>
        <w:t>重庆交通职业学院</w:t>
      </w:r>
    </w:p>
    <w:p>
      <w:pPr>
        <w:spacing w:line="360" w:lineRule="auto"/>
        <w:jc w:val="center"/>
        <w:rPr>
          <w:rFonts w:ascii="仿宋" w:hAnsi="仿宋" w:eastAsia="仿宋"/>
          <w:b/>
          <w:sz w:val="44"/>
          <w:szCs w:val="44"/>
        </w:rPr>
      </w:pPr>
      <w:r>
        <w:rPr>
          <w:rFonts w:hint="eastAsia" w:ascii="仿宋" w:hAnsi="仿宋" w:eastAsia="仿宋"/>
          <w:b/>
          <w:sz w:val="44"/>
          <w:szCs w:val="44"/>
        </w:rPr>
        <w:t>AI视频智能监控系统服务器采购项目</w:t>
      </w:r>
    </w:p>
    <w:p>
      <w:pPr>
        <w:spacing w:line="360" w:lineRule="auto"/>
        <w:jc w:val="center"/>
        <w:rPr>
          <w:rFonts w:ascii="仿宋" w:hAnsi="仿宋" w:eastAsia="仿宋"/>
          <w:sz w:val="72"/>
          <w:szCs w:val="72"/>
        </w:rPr>
      </w:pPr>
      <w:r>
        <w:rPr>
          <w:rFonts w:hint="eastAsia" w:ascii="仿宋" w:hAnsi="仿宋" w:eastAsia="仿宋"/>
          <w:sz w:val="72"/>
          <w:szCs w:val="72"/>
        </w:rPr>
        <w:t>招</w:t>
      </w:r>
    </w:p>
    <w:p>
      <w:pPr>
        <w:spacing w:line="360" w:lineRule="auto"/>
        <w:jc w:val="center"/>
        <w:rPr>
          <w:rFonts w:ascii="仿宋" w:hAnsi="仿宋" w:eastAsia="仿宋"/>
          <w:sz w:val="72"/>
          <w:szCs w:val="72"/>
        </w:rPr>
      </w:pPr>
      <w:r>
        <w:rPr>
          <w:rFonts w:hint="eastAsia" w:ascii="仿宋" w:hAnsi="仿宋" w:eastAsia="仿宋"/>
          <w:sz w:val="72"/>
          <w:szCs w:val="72"/>
        </w:rPr>
        <w:t>标</w:t>
      </w:r>
    </w:p>
    <w:p>
      <w:pPr>
        <w:spacing w:line="360" w:lineRule="auto"/>
        <w:jc w:val="center"/>
        <w:rPr>
          <w:rFonts w:ascii="仿宋" w:hAnsi="仿宋" w:eastAsia="仿宋"/>
          <w:sz w:val="72"/>
          <w:szCs w:val="72"/>
        </w:rPr>
      </w:pPr>
      <w:r>
        <w:rPr>
          <w:rFonts w:hint="eastAsia" w:ascii="仿宋" w:hAnsi="仿宋" w:eastAsia="仿宋"/>
          <w:sz w:val="72"/>
          <w:szCs w:val="72"/>
        </w:rPr>
        <w:t>文</w:t>
      </w:r>
    </w:p>
    <w:p>
      <w:pPr>
        <w:tabs>
          <w:tab w:val="left" w:pos="3960"/>
        </w:tabs>
        <w:spacing w:line="360" w:lineRule="auto"/>
        <w:jc w:val="center"/>
        <w:rPr>
          <w:rFonts w:ascii="仿宋" w:hAnsi="仿宋" w:eastAsia="仿宋"/>
          <w:sz w:val="72"/>
          <w:szCs w:val="72"/>
        </w:rPr>
      </w:pPr>
      <w:r>
        <w:rPr>
          <w:rFonts w:hint="eastAsia" w:ascii="仿宋" w:hAnsi="仿宋" w:eastAsia="仿宋"/>
          <w:sz w:val="72"/>
          <w:szCs w:val="72"/>
        </w:rPr>
        <w:t>件</w:t>
      </w:r>
    </w:p>
    <w:p>
      <w:pPr>
        <w:spacing w:line="360" w:lineRule="auto"/>
        <w:jc w:val="center"/>
        <w:rPr>
          <w:rFonts w:ascii="黑体" w:hAnsi="黑体" w:eastAsia="黑体"/>
          <w:sz w:val="32"/>
          <w:szCs w:val="32"/>
        </w:rPr>
      </w:pPr>
      <w:r>
        <w:rPr>
          <w:rFonts w:hint="eastAsia" w:ascii="黑体" w:hAnsi="黑体" w:eastAsia="黑体"/>
          <w:sz w:val="30"/>
          <w:szCs w:val="30"/>
        </w:rPr>
        <w:t>重庆交通职业学院编制</w:t>
      </w:r>
      <w:bookmarkStart w:id="0" w:name="_Hlt101843627"/>
      <w:bookmarkEnd w:id="0"/>
      <w:bookmarkStart w:id="1" w:name="_Hlt101233737"/>
      <w:bookmarkEnd w:id="1"/>
      <w:bookmarkStart w:id="2" w:name="_Toc183682338"/>
      <w:bookmarkStart w:id="3" w:name="_Toc217446030"/>
    </w:p>
    <w:p>
      <w:pPr>
        <w:spacing w:line="360" w:lineRule="auto"/>
        <w:jc w:val="center"/>
        <w:rPr>
          <w:rFonts w:ascii="仿宋" w:hAnsi="仿宋" w:eastAsia="仿宋"/>
          <w:sz w:val="32"/>
          <w:szCs w:val="32"/>
        </w:rPr>
      </w:pPr>
      <w:r>
        <w:rPr>
          <w:rFonts w:hint="eastAsia" w:ascii="仿宋" w:hAnsi="仿宋" w:eastAsia="仿宋"/>
          <w:sz w:val="32"/>
          <w:szCs w:val="32"/>
        </w:rPr>
        <w:t>2024年4月</w:t>
      </w:r>
    </w:p>
    <w:p>
      <w:pPr>
        <w:widowControl/>
        <w:jc w:val="left"/>
        <w:rPr>
          <w:rFonts w:ascii="仿宋" w:hAnsi="仿宋" w:eastAsia="仿宋"/>
          <w:b/>
          <w:sz w:val="36"/>
          <w:szCs w:val="32"/>
        </w:rPr>
      </w:pPr>
      <w:r>
        <w:rPr>
          <w:rFonts w:ascii="仿宋" w:hAnsi="仿宋" w:eastAsia="仿宋"/>
          <w:bCs/>
          <w:sz w:val="36"/>
        </w:rPr>
        <w:br w:type="page"/>
      </w:r>
    </w:p>
    <w:p>
      <w:pPr>
        <w:pStyle w:val="3"/>
        <w:spacing w:line="360" w:lineRule="exact"/>
        <w:jc w:val="center"/>
        <w:rPr>
          <w:rFonts w:ascii="仿宋" w:hAnsi="仿宋" w:eastAsia="仿宋"/>
          <w:bCs w:val="0"/>
          <w:sz w:val="36"/>
        </w:rPr>
      </w:pPr>
      <w:r>
        <w:rPr>
          <w:rFonts w:hint="eastAsia" w:ascii="仿宋" w:hAnsi="仿宋" w:eastAsia="仿宋"/>
          <w:bCs w:val="0"/>
          <w:sz w:val="36"/>
        </w:rPr>
        <w:t>目    录</w:t>
      </w:r>
    </w:p>
    <w:p>
      <w:pPr>
        <w:rPr>
          <w:rFonts w:ascii="仿宋" w:hAnsi="仿宋" w:eastAsia="仿宋"/>
        </w:rPr>
      </w:pPr>
    </w:p>
    <w:p>
      <w:pPr>
        <w:pStyle w:val="24"/>
        <w:tabs>
          <w:tab w:val="right" w:leader="dot" w:pos="8297"/>
        </w:tabs>
        <w:spacing w:line="480" w:lineRule="auto"/>
        <w:rPr>
          <w:rFonts w:ascii="仿宋" w:hAnsi="仿宋" w:eastAsia="仿宋"/>
          <w:sz w:val="32"/>
          <w:szCs w:val="32"/>
        </w:rPr>
      </w:pPr>
      <w:r>
        <w:rPr>
          <w:rFonts w:ascii="仿宋" w:hAnsi="仿宋" w:eastAsia="仿宋"/>
          <w:b/>
          <w:sz w:val="32"/>
          <w:szCs w:val="32"/>
        </w:rPr>
        <w:fldChar w:fldCharType="begin"/>
      </w:r>
      <w:r>
        <w:rPr>
          <w:rFonts w:hint="eastAsia" w:ascii="仿宋" w:hAnsi="仿宋" w:eastAsia="仿宋"/>
          <w:b/>
          <w:sz w:val="32"/>
          <w:szCs w:val="32"/>
        </w:rPr>
        <w:instrText xml:space="preserve">TOC \o "1-1" \h \z \u</w:instrText>
      </w:r>
      <w:r>
        <w:rPr>
          <w:rFonts w:ascii="仿宋" w:hAnsi="仿宋" w:eastAsia="仿宋"/>
          <w:b/>
          <w:sz w:val="32"/>
          <w:szCs w:val="32"/>
        </w:rPr>
        <w:fldChar w:fldCharType="separate"/>
      </w:r>
      <w:r>
        <w:fldChar w:fldCharType="begin"/>
      </w:r>
      <w:r>
        <w:instrText xml:space="preserve"> HYPERLINK \l "_Toc375898983" </w:instrText>
      </w:r>
      <w:r>
        <w:fldChar w:fldCharType="separate"/>
      </w:r>
      <w:r>
        <w:rPr>
          <w:rStyle w:val="37"/>
          <w:rFonts w:hint="eastAsia" w:ascii="仿宋" w:hAnsi="仿宋" w:eastAsia="仿宋"/>
          <w:color w:val="auto"/>
          <w:sz w:val="32"/>
          <w:szCs w:val="32"/>
        </w:rPr>
        <w:t>第一章投标邀请</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_Toc375898983 \h </w:instrText>
      </w:r>
      <w:r>
        <w:rPr>
          <w:rFonts w:ascii="仿宋" w:hAnsi="仿宋" w:eastAsia="仿宋"/>
          <w:sz w:val="32"/>
          <w:szCs w:val="32"/>
        </w:rPr>
        <w:fldChar w:fldCharType="separate"/>
      </w:r>
      <w:r>
        <w:rPr>
          <w:rFonts w:ascii="仿宋" w:hAnsi="仿宋" w:eastAsia="仿宋"/>
          <w:sz w:val="32"/>
          <w:szCs w:val="32"/>
        </w:rPr>
        <w:t>３</w:t>
      </w:r>
      <w:r>
        <w:rPr>
          <w:rFonts w:ascii="仿宋" w:hAnsi="仿宋" w:eastAsia="仿宋"/>
          <w:sz w:val="32"/>
          <w:szCs w:val="32"/>
        </w:rPr>
        <w:fldChar w:fldCharType="end"/>
      </w:r>
      <w:r>
        <w:rPr>
          <w:rFonts w:ascii="仿宋" w:hAnsi="仿宋" w:eastAsia="仿宋"/>
          <w:sz w:val="32"/>
          <w:szCs w:val="32"/>
        </w:rPr>
        <w:fldChar w:fldCharType="end"/>
      </w:r>
    </w:p>
    <w:p>
      <w:pPr>
        <w:pStyle w:val="24"/>
        <w:tabs>
          <w:tab w:val="right" w:leader="dot" w:pos="8297"/>
        </w:tabs>
        <w:spacing w:line="480" w:lineRule="auto"/>
        <w:rPr>
          <w:rFonts w:ascii="仿宋" w:hAnsi="仿宋" w:eastAsia="仿宋"/>
          <w:sz w:val="32"/>
          <w:szCs w:val="32"/>
        </w:rPr>
      </w:pPr>
      <w:r>
        <w:fldChar w:fldCharType="begin"/>
      </w:r>
      <w:r>
        <w:instrText xml:space="preserve"> HYPERLINK \l "_Toc375898984" </w:instrText>
      </w:r>
      <w:r>
        <w:fldChar w:fldCharType="separate"/>
      </w:r>
      <w:r>
        <w:rPr>
          <w:rStyle w:val="37"/>
          <w:rFonts w:hint="eastAsia" w:ascii="仿宋" w:hAnsi="仿宋" w:eastAsia="仿宋"/>
          <w:color w:val="auto"/>
          <w:sz w:val="32"/>
          <w:szCs w:val="32"/>
        </w:rPr>
        <w:t>第二章投标人须知</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_Toc375898984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pStyle w:val="24"/>
        <w:tabs>
          <w:tab w:val="right" w:leader="dot" w:pos="8297"/>
        </w:tabs>
        <w:spacing w:line="480" w:lineRule="auto"/>
        <w:rPr>
          <w:rFonts w:ascii="仿宋" w:hAnsi="仿宋" w:eastAsia="仿宋"/>
          <w:sz w:val="32"/>
          <w:szCs w:val="32"/>
        </w:rPr>
      </w:pPr>
      <w:r>
        <w:fldChar w:fldCharType="begin"/>
      </w:r>
      <w:r>
        <w:instrText xml:space="preserve"> HYPERLINK \l "_Toc375898985" </w:instrText>
      </w:r>
      <w:r>
        <w:fldChar w:fldCharType="separate"/>
      </w:r>
      <w:r>
        <w:rPr>
          <w:rStyle w:val="37"/>
          <w:rFonts w:hint="eastAsia" w:ascii="仿宋" w:hAnsi="仿宋" w:eastAsia="仿宋"/>
          <w:color w:val="auto"/>
          <w:sz w:val="32"/>
          <w:szCs w:val="32"/>
        </w:rPr>
        <w:t>第三章 投标文件格式</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_Toc375898985 \h </w:instrText>
      </w:r>
      <w:r>
        <w:rPr>
          <w:rFonts w:ascii="仿宋" w:hAnsi="仿宋" w:eastAsia="仿宋"/>
          <w:sz w:val="32"/>
          <w:szCs w:val="32"/>
        </w:rPr>
        <w:fldChar w:fldCharType="separate"/>
      </w:r>
      <w:r>
        <w:rPr>
          <w:rFonts w:ascii="仿宋" w:hAnsi="仿宋" w:eastAsia="仿宋"/>
          <w:sz w:val="32"/>
          <w:szCs w:val="32"/>
        </w:rPr>
        <w:t>18</w:t>
      </w:r>
      <w:r>
        <w:rPr>
          <w:rFonts w:ascii="仿宋" w:hAnsi="仿宋" w:eastAsia="仿宋"/>
          <w:sz w:val="32"/>
          <w:szCs w:val="32"/>
        </w:rPr>
        <w:fldChar w:fldCharType="end"/>
      </w:r>
      <w:r>
        <w:rPr>
          <w:rFonts w:ascii="仿宋" w:hAnsi="仿宋" w:eastAsia="仿宋"/>
          <w:sz w:val="32"/>
          <w:szCs w:val="32"/>
        </w:rPr>
        <w:fldChar w:fldCharType="end"/>
      </w:r>
    </w:p>
    <w:p>
      <w:pPr>
        <w:pStyle w:val="24"/>
        <w:tabs>
          <w:tab w:val="right" w:leader="dot" w:pos="8297"/>
        </w:tabs>
        <w:spacing w:line="480" w:lineRule="auto"/>
        <w:rPr>
          <w:rFonts w:ascii="仿宋" w:hAnsi="仿宋" w:eastAsia="仿宋"/>
          <w:sz w:val="32"/>
          <w:szCs w:val="32"/>
        </w:rPr>
      </w:pPr>
      <w:r>
        <w:fldChar w:fldCharType="begin"/>
      </w:r>
      <w:r>
        <w:instrText xml:space="preserve"> HYPERLINK \l "_Toc375898986" </w:instrText>
      </w:r>
      <w:r>
        <w:fldChar w:fldCharType="separate"/>
      </w:r>
      <w:r>
        <w:rPr>
          <w:rStyle w:val="37"/>
          <w:rFonts w:hint="eastAsia" w:ascii="仿宋" w:hAnsi="仿宋" w:eastAsia="仿宋"/>
          <w:color w:val="auto"/>
          <w:sz w:val="32"/>
          <w:szCs w:val="32"/>
        </w:rPr>
        <w:t>第四章资格证明文件</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_Toc375898986 \h </w:instrText>
      </w:r>
      <w:r>
        <w:rPr>
          <w:rFonts w:ascii="仿宋" w:hAnsi="仿宋" w:eastAsia="仿宋"/>
          <w:sz w:val="32"/>
          <w:szCs w:val="32"/>
        </w:rPr>
        <w:fldChar w:fldCharType="separate"/>
      </w:r>
      <w:r>
        <w:rPr>
          <w:rFonts w:ascii="仿宋" w:hAnsi="仿宋" w:eastAsia="仿宋"/>
          <w:sz w:val="32"/>
          <w:szCs w:val="32"/>
        </w:rPr>
        <w:t>28</w:t>
      </w:r>
      <w:r>
        <w:rPr>
          <w:rFonts w:ascii="仿宋" w:hAnsi="仿宋" w:eastAsia="仿宋"/>
          <w:sz w:val="32"/>
          <w:szCs w:val="32"/>
        </w:rPr>
        <w:fldChar w:fldCharType="end"/>
      </w:r>
      <w:r>
        <w:rPr>
          <w:rFonts w:ascii="仿宋" w:hAnsi="仿宋" w:eastAsia="仿宋"/>
          <w:sz w:val="32"/>
          <w:szCs w:val="32"/>
        </w:rPr>
        <w:fldChar w:fldCharType="end"/>
      </w:r>
    </w:p>
    <w:p>
      <w:pPr>
        <w:pStyle w:val="24"/>
        <w:tabs>
          <w:tab w:val="right" w:leader="dot" w:pos="8297"/>
        </w:tabs>
        <w:spacing w:line="480" w:lineRule="auto"/>
        <w:rPr>
          <w:rFonts w:ascii="仿宋" w:hAnsi="仿宋" w:eastAsia="仿宋"/>
          <w:sz w:val="32"/>
          <w:szCs w:val="32"/>
        </w:rPr>
      </w:pPr>
      <w:r>
        <w:fldChar w:fldCharType="begin"/>
      </w:r>
      <w:r>
        <w:instrText xml:space="preserve"> HYPERLINK \l "_Toc375898987" </w:instrText>
      </w:r>
      <w:r>
        <w:fldChar w:fldCharType="separate"/>
      </w:r>
      <w:r>
        <w:rPr>
          <w:rStyle w:val="37"/>
          <w:rFonts w:hint="eastAsia" w:ascii="仿宋" w:hAnsi="仿宋" w:eastAsia="仿宋"/>
          <w:color w:val="auto"/>
          <w:sz w:val="32"/>
          <w:szCs w:val="32"/>
        </w:rPr>
        <w:t>第五章招标项目及要求</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_Toc375898987 \h </w:instrText>
      </w:r>
      <w:r>
        <w:rPr>
          <w:rFonts w:ascii="仿宋" w:hAnsi="仿宋" w:eastAsia="仿宋"/>
          <w:sz w:val="32"/>
          <w:szCs w:val="32"/>
        </w:rPr>
        <w:fldChar w:fldCharType="separate"/>
      </w:r>
      <w:r>
        <w:rPr>
          <w:rFonts w:ascii="仿宋" w:hAnsi="仿宋" w:eastAsia="仿宋"/>
          <w:sz w:val="32"/>
          <w:szCs w:val="32"/>
        </w:rPr>
        <w:t>29</w:t>
      </w:r>
      <w:r>
        <w:rPr>
          <w:rFonts w:ascii="仿宋" w:hAnsi="仿宋" w:eastAsia="仿宋"/>
          <w:sz w:val="32"/>
          <w:szCs w:val="32"/>
        </w:rPr>
        <w:fldChar w:fldCharType="end"/>
      </w:r>
      <w:r>
        <w:rPr>
          <w:rFonts w:ascii="仿宋" w:hAnsi="仿宋" w:eastAsia="仿宋"/>
          <w:sz w:val="32"/>
          <w:szCs w:val="32"/>
        </w:rPr>
        <w:fldChar w:fldCharType="end"/>
      </w:r>
    </w:p>
    <w:p>
      <w:pPr>
        <w:pStyle w:val="24"/>
        <w:tabs>
          <w:tab w:val="right" w:leader="dot" w:pos="8297"/>
        </w:tabs>
        <w:spacing w:line="480" w:lineRule="auto"/>
        <w:rPr>
          <w:rFonts w:ascii="仿宋" w:hAnsi="仿宋" w:eastAsia="仿宋"/>
          <w:sz w:val="32"/>
          <w:szCs w:val="32"/>
        </w:rPr>
      </w:pPr>
      <w:r>
        <w:fldChar w:fldCharType="begin"/>
      </w:r>
      <w:r>
        <w:instrText xml:space="preserve"> HYPERLINK \l "_Toc375898988" </w:instrText>
      </w:r>
      <w:r>
        <w:fldChar w:fldCharType="separate"/>
      </w:r>
      <w:r>
        <w:rPr>
          <w:rStyle w:val="37"/>
          <w:rFonts w:hint="eastAsia" w:ascii="仿宋" w:hAnsi="仿宋" w:eastAsia="仿宋"/>
          <w:color w:val="auto"/>
          <w:sz w:val="32"/>
          <w:szCs w:val="32"/>
        </w:rPr>
        <w:t>第六章评标办法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_Toc375898988 \h </w:instrText>
      </w:r>
      <w:r>
        <w:rPr>
          <w:rFonts w:ascii="仿宋" w:hAnsi="仿宋" w:eastAsia="仿宋"/>
          <w:sz w:val="32"/>
          <w:szCs w:val="32"/>
        </w:rPr>
        <w:fldChar w:fldCharType="separate"/>
      </w:r>
      <w:r>
        <w:rPr>
          <w:rFonts w:ascii="仿宋" w:hAnsi="仿宋" w:eastAsia="仿宋"/>
          <w:sz w:val="32"/>
          <w:szCs w:val="32"/>
        </w:rPr>
        <w:t>34</w:t>
      </w:r>
      <w:r>
        <w:rPr>
          <w:rFonts w:ascii="仿宋" w:hAnsi="仿宋" w:eastAsia="仿宋"/>
          <w:sz w:val="32"/>
          <w:szCs w:val="32"/>
        </w:rPr>
        <w:fldChar w:fldCharType="end"/>
      </w:r>
      <w:r>
        <w:rPr>
          <w:rFonts w:ascii="仿宋" w:hAnsi="仿宋" w:eastAsia="仿宋"/>
          <w:sz w:val="32"/>
          <w:szCs w:val="32"/>
        </w:rPr>
        <w:fldChar w:fldCharType="end"/>
      </w:r>
    </w:p>
    <w:p>
      <w:pPr>
        <w:spacing w:line="480" w:lineRule="auto"/>
        <w:rPr>
          <w:rFonts w:ascii="仿宋" w:hAnsi="仿宋" w:eastAsia="仿宋"/>
        </w:rPr>
      </w:pPr>
      <w:r>
        <w:rPr>
          <w:rFonts w:ascii="仿宋" w:hAnsi="仿宋" w:eastAsia="仿宋"/>
          <w:b/>
          <w:sz w:val="32"/>
          <w:szCs w:val="32"/>
        </w:rPr>
        <w:fldChar w:fldCharType="end"/>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r>
        <w:rPr>
          <w:rFonts w:hint="eastAsia" w:ascii="仿宋" w:hAnsi="仿宋" w:eastAsia="仿宋"/>
        </w:rPr>
        <w:br w:type="page"/>
      </w:r>
    </w:p>
    <w:p>
      <w:pPr>
        <w:pStyle w:val="2"/>
        <w:spacing w:line="240" w:lineRule="atLeast"/>
        <w:jc w:val="center"/>
        <w:rPr>
          <w:rFonts w:ascii="仿宋" w:hAnsi="仿宋" w:eastAsia="仿宋"/>
          <w:bCs w:val="0"/>
          <w:sz w:val="36"/>
        </w:rPr>
      </w:pPr>
      <w:bookmarkStart w:id="4" w:name="_Toc375898983"/>
      <w:r>
        <w:rPr>
          <w:rFonts w:hint="eastAsia" w:ascii="仿宋" w:hAnsi="仿宋" w:eastAsia="仿宋"/>
          <w:bCs w:val="0"/>
          <w:sz w:val="36"/>
        </w:rPr>
        <w:t>第一章  投标邀请</w:t>
      </w:r>
      <w:bookmarkEnd w:id="2"/>
      <w:bookmarkEnd w:id="3"/>
      <w:bookmarkEnd w:id="4"/>
    </w:p>
    <w:p>
      <w:pPr>
        <w:spacing w:line="360" w:lineRule="auto"/>
        <w:ind w:firstLine="480" w:firstLineChars="200"/>
        <w:rPr>
          <w:rFonts w:ascii="仿宋" w:hAnsi="仿宋" w:eastAsia="仿宋"/>
          <w:b/>
          <w:sz w:val="24"/>
        </w:rPr>
      </w:pPr>
      <w:r>
        <w:rPr>
          <w:rFonts w:hint="eastAsia" w:hAnsi="宋体"/>
          <w:sz w:val="24"/>
        </w:rPr>
        <w:t>重庆交通职业学院拟对</w:t>
      </w:r>
      <w:r>
        <w:rPr>
          <w:rFonts w:hint="eastAsia" w:hAnsi="宋体" w:cs="宋体"/>
          <w:b/>
          <w:sz w:val="24"/>
          <w:szCs w:val="24"/>
          <w:u w:val="single"/>
        </w:rPr>
        <w:t>AI视频智能监控系统服务器采购项目</w:t>
      </w:r>
      <w:r>
        <w:rPr>
          <w:rFonts w:hint="eastAsia" w:ascii="仿宋" w:hAnsi="仿宋" w:eastAsia="仿宋"/>
          <w:sz w:val="24"/>
        </w:rPr>
        <w:t xml:space="preserve">进行国内公开招标，兹邀请符合本次招标要求的供应商参加投标。 </w:t>
      </w:r>
    </w:p>
    <w:p>
      <w:pPr>
        <w:numPr>
          <w:ilvl w:val="0"/>
          <w:numId w:val="3"/>
        </w:numPr>
        <w:spacing w:line="360" w:lineRule="auto"/>
        <w:ind w:right="51" w:rightChars="15" w:firstLine="482" w:firstLineChars="200"/>
        <w:rPr>
          <w:rFonts w:ascii="仿宋" w:hAnsi="仿宋" w:eastAsia="仿宋"/>
          <w:b/>
          <w:sz w:val="24"/>
          <w:szCs w:val="28"/>
        </w:rPr>
      </w:pPr>
      <w:r>
        <w:rPr>
          <w:rFonts w:hint="eastAsia" w:ascii="仿宋" w:hAnsi="仿宋" w:eastAsia="仿宋"/>
          <w:b/>
          <w:sz w:val="24"/>
          <w:szCs w:val="28"/>
        </w:rPr>
        <w:t>招标编号：</w:t>
      </w:r>
    </w:p>
    <w:p>
      <w:pPr>
        <w:spacing w:line="360" w:lineRule="auto"/>
        <w:ind w:right="51" w:rightChars="15" w:firstLine="482" w:firstLineChars="200"/>
        <w:rPr>
          <w:rFonts w:ascii="仿宋" w:hAnsi="仿宋" w:eastAsia="仿宋"/>
          <w:b/>
          <w:sz w:val="24"/>
          <w:szCs w:val="28"/>
        </w:rPr>
      </w:pPr>
      <w:r>
        <w:rPr>
          <w:rFonts w:hint="eastAsia" w:ascii="仿宋" w:hAnsi="仿宋" w:eastAsia="仿宋"/>
          <w:b/>
          <w:sz w:val="24"/>
          <w:szCs w:val="28"/>
        </w:rPr>
        <w:t>二、招标项目：</w:t>
      </w:r>
      <w:r>
        <w:rPr>
          <w:rFonts w:hint="eastAsia" w:hAnsi="宋体" w:cs="宋体"/>
          <w:b/>
          <w:sz w:val="24"/>
          <w:szCs w:val="24"/>
          <w:u w:val="single"/>
        </w:rPr>
        <w:t>AI视频智能监控系统服务器采购项目</w:t>
      </w:r>
    </w:p>
    <w:p>
      <w:pPr>
        <w:spacing w:line="360" w:lineRule="auto"/>
        <w:ind w:firstLine="482" w:firstLineChars="200"/>
        <w:rPr>
          <w:rFonts w:ascii="仿宋" w:hAnsi="仿宋" w:eastAsia="仿宋"/>
          <w:b/>
          <w:sz w:val="24"/>
        </w:rPr>
      </w:pPr>
      <w:r>
        <w:rPr>
          <w:rFonts w:hint="eastAsia" w:ascii="仿宋" w:hAnsi="仿宋" w:eastAsia="仿宋"/>
          <w:b/>
          <w:sz w:val="24"/>
        </w:rPr>
        <w:t>三</w:t>
      </w:r>
      <w:r>
        <w:rPr>
          <w:rFonts w:hint="eastAsia" w:ascii="仿宋" w:hAnsi="仿宋" w:eastAsia="仿宋"/>
          <w:b/>
          <w:bCs/>
          <w:sz w:val="24"/>
        </w:rPr>
        <w:t>、</w:t>
      </w:r>
      <w:r>
        <w:rPr>
          <w:rFonts w:hint="eastAsia" w:ascii="仿宋" w:hAnsi="仿宋" w:eastAsia="仿宋"/>
          <w:b/>
          <w:sz w:val="24"/>
        </w:rPr>
        <w:t>招标项目简介</w:t>
      </w:r>
    </w:p>
    <w:p>
      <w:pPr>
        <w:spacing w:line="360" w:lineRule="auto"/>
        <w:ind w:firstLine="482" w:firstLineChars="200"/>
        <w:rPr>
          <w:rFonts w:ascii="仿宋" w:hAnsi="仿宋" w:eastAsia="仿宋"/>
          <w:b/>
          <w:sz w:val="24"/>
        </w:rPr>
      </w:pPr>
    </w:p>
    <w:tbl>
      <w:tblPr>
        <w:tblStyle w:val="31"/>
        <w:tblW w:w="8385" w:type="dxa"/>
        <w:tblInd w:w="93" w:type="dxa"/>
        <w:tblLayout w:type="fixed"/>
        <w:tblCellMar>
          <w:top w:w="0" w:type="dxa"/>
          <w:left w:w="108" w:type="dxa"/>
          <w:bottom w:w="0" w:type="dxa"/>
          <w:right w:w="108" w:type="dxa"/>
        </w:tblCellMar>
      </w:tblPr>
      <w:tblGrid>
        <w:gridCol w:w="795"/>
        <w:gridCol w:w="1485"/>
        <w:gridCol w:w="4275"/>
        <w:gridCol w:w="915"/>
        <w:gridCol w:w="915"/>
      </w:tblGrid>
      <w:tr>
        <w:tblPrEx>
          <w:tblCellMar>
            <w:top w:w="0" w:type="dxa"/>
            <w:left w:w="108" w:type="dxa"/>
            <w:bottom w:w="0" w:type="dxa"/>
            <w:right w:w="108"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rPr>
            </w:pPr>
            <w:r>
              <w:rPr>
                <w:rFonts w:hint="eastAsia" w:hAnsi="宋体" w:cs="宋体"/>
                <w:color w:val="000000"/>
                <w:sz w:val="24"/>
                <w:szCs w:val="24"/>
                <w:lang w:bidi="ar"/>
              </w:rPr>
              <w:t>名称</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rPr>
            </w:pPr>
            <w:r>
              <w:rPr>
                <w:rFonts w:hint="eastAsia" w:hAnsi="宋体" w:cs="宋体"/>
                <w:color w:val="000000"/>
                <w:sz w:val="24"/>
                <w:szCs w:val="24"/>
                <w:lang w:bidi="ar"/>
              </w:rPr>
              <w:t>型号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数量</w:t>
            </w:r>
          </w:p>
        </w:tc>
      </w:tr>
      <w:tr>
        <w:tblPrEx>
          <w:tblCellMar>
            <w:top w:w="0" w:type="dxa"/>
            <w:left w:w="108" w:type="dxa"/>
            <w:bottom w:w="0" w:type="dxa"/>
            <w:right w:w="108" w:type="dxa"/>
          </w:tblCellMar>
        </w:tblPrEx>
        <w:trPr>
          <w:trHeight w:val="33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1</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rPr>
            </w:pPr>
            <w:r>
              <w:rPr>
                <w:rFonts w:hint="eastAsia" w:hAnsi="宋体" w:cs="宋体"/>
                <w:color w:val="000000"/>
                <w:sz w:val="24"/>
                <w:szCs w:val="24"/>
                <w:lang w:bidi="ar"/>
              </w:rPr>
              <w:t>服务器</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CPU:AMD EPYC系列，64核心128线程</w:t>
            </w:r>
          </w:p>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GPU:NVIDIA A800或AMD Radeon instinct AI加速卡</w:t>
            </w:r>
          </w:p>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内存:至少128GB以上的高速DDR4内存</w:t>
            </w:r>
          </w:p>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存储:至少1TB的NVMe固态硬盘或者SSD RAID配置</w:t>
            </w:r>
          </w:p>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网络:支持多个高速千兆以太网接口，并具备高带宽的网络连接</w:t>
            </w:r>
          </w:p>
          <w:p>
            <w:pPr>
              <w:widowControl/>
              <w:jc w:val="left"/>
              <w:textAlignment w:val="center"/>
              <w:rPr>
                <w:rFonts w:hAnsi="宋体" w:cs="宋体"/>
                <w:color w:val="000000"/>
                <w:sz w:val="24"/>
                <w:szCs w:val="24"/>
              </w:rPr>
            </w:pPr>
            <w:r>
              <w:rPr>
                <w:rFonts w:hint="eastAsia" w:hAnsi="宋体" w:cs="宋体"/>
                <w:color w:val="000000"/>
                <w:sz w:val="24"/>
                <w:szCs w:val="24"/>
                <w:lang w:bidi="ar"/>
              </w:rPr>
              <w:t>散热和电源:配置高效的散热系统和可靠的电源供应，确保服务器长时间稳定运行</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eastAsia="宋体" w:cs="宋体"/>
                <w:color w:val="000000"/>
                <w:sz w:val="24"/>
                <w:szCs w:val="24"/>
                <w:lang w:val="en-US" w:eastAsia="zh-CN"/>
              </w:rPr>
            </w:pPr>
            <w:r>
              <w:rPr>
                <w:rFonts w:hint="eastAsia" w:hAnsi="宋体" w:cs="宋体"/>
                <w:color w:val="000000"/>
                <w:sz w:val="24"/>
                <w:szCs w:val="24"/>
                <w:lang w:val="en-US" w:eastAsia="zh-CN"/>
              </w:rPr>
              <w:t>套</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1</w:t>
            </w:r>
          </w:p>
        </w:tc>
      </w:tr>
      <w:tr>
        <w:tblPrEx>
          <w:tblCellMar>
            <w:top w:w="0" w:type="dxa"/>
            <w:left w:w="108" w:type="dxa"/>
            <w:bottom w:w="0" w:type="dxa"/>
            <w:right w:w="108" w:type="dxa"/>
          </w:tblCellMar>
        </w:tblPrEx>
        <w:trPr>
          <w:trHeight w:val="33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r>
      <w:tr>
        <w:tblPrEx>
          <w:tblCellMar>
            <w:top w:w="0" w:type="dxa"/>
            <w:left w:w="108" w:type="dxa"/>
            <w:bottom w:w="0" w:type="dxa"/>
            <w:right w:w="108" w:type="dxa"/>
          </w:tblCellMar>
        </w:tblPrEx>
        <w:trPr>
          <w:trHeight w:val="33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r>
      <w:tr>
        <w:tblPrEx>
          <w:tblCellMar>
            <w:top w:w="0" w:type="dxa"/>
            <w:left w:w="108" w:type="dxa"/>
            <w:bottom w:w="0" w:type="dxa"/>
            <w:right w:w="108" w:type="dxa"/>
          </w:tblCellMar>
        </w:tblPrEx>
        <w:trPr>
          <w:trHeight w:val="33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r>
      <w:tr>
        <w:tblPrEx>
          <w:tblCellMar>
            <w:top w:w="0" w:type="dxa"/>
            <w:left w:w="108" w:type="dxa"/>
            <w:bottom w:w="0" w:type="dxa"/>
            <w:right w:w="108" w:type="dxa"/>
          </w:tblCellMar>
        </w:tblPrEx>
        <w:trPr>
          <w:trHeight w:val="33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r>
      <w:tr>
        <w:tblPrEx>
          <w:tblCellMar>
            <w:top w:w="0" w:type="dxa"/>
            <w:left w:w="108" w:type="dxa"/>
            <w:bottom w:w="0" w:type="dxa"/>
            <w:right w:w="108" w:type="dxa"/>
          </w:tblCellMar>
        </w:tblPrEx>
        <w:trPr>
          <w:trHeight w:val="33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r>
      <w:tr>
        <w:tblPrEx>
          <w:tblCellMar>
            <w:top w:w="0" w:type="dxa"/>
            <w:left w:w="108" w:type="dxa"/>
            <w:bottom w:w="0" w:type="dxa"/>
            <w:right w:w="108" w:type="dxa"/>
          </w:tblCellMar>
        </w:tblPrEx>
        <w:trPr>
          <w:trHeight w:val="33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r>
      <w:tr>
        <w:tblPrEx>
          <w:tblCellMar>
            <w:top w:w="0" w:type="dxa"/>
            <w:left w:w="108" w:type="dxa"/>
            <w:bottom w:w="0" w:type="dxa"/>
            <w:right w:w="108" w:type="dxa"/>
          </w:tblCellMar>
        </w:tblPrEx>
        <w:trPr>
          <w:trHeight w:val="47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r>
    </w:tbl>
    <w:p>
      <w:pPr>
        <w:spacing w:line="360" w:lineRule="auto"/>
        <w:ind w:firstLine="482" w:firstLineChars="200"/>
        <w:rPr>
          <w:rFonts w:ascii="仿宋" w:hAnsi="仿宋" w:eastAsia="仿宋"/>
          <w:b/>
          <w:sz w:val="24"/>
        </w:rPr>
      </w:pPr>
    </w:p>
    <w:p>
      <w:pPr>
        <w:spacing w:after="120" w:afterLines="50" w:line="420" w:lineRule="exact"/>
        <w:ind w:firstLine="482" w:firstLineChars="200"/>
        <w:rPr>
          <w:rFonts w:ascii="仿宋" w:hAnsi="仿宋" w:eastAsia="仿宋"/>
          <w:b/>
          <w:bCs/>
          <w:sz w:val="24"/>
        </w:rPr>
      </w:pPr>
      <w:r>
        <w:rPr>
          <w:rFonts w:hint="eastAsia" w:ascii="仿宋" w:hAnsi="仿宋" w:eastAsia="仿宋"/>
          <w:b/>
          <w:bCs/>
          <w:sz w:val="24"/>
        </w:rPr>
        <w:t xml:space="preserve">四、投标人应具备的资格条件： </w:t>
      </w:r>
    </w:p>
    <w:p>
      <w:pPr>
        <w:pStyle w:val="75"/>
        <w:spacing w:line="460" w:lineRule="exact"/>
        <w:ind w:firstLine="480" w:firstLineChars="200"/>
        <w:rPr>
          <w:rFonts w:ascii="仿宋" w:hAnsi="仿宋" w:eastAsia="仿宋"/>
          <w:color w:val="000000" w:themeColor="text1"/>
          <w:sz w:val="24"/>
          <w:szCs w:val="24"/>
        </w:rPr>
      </w:pPr>
      <w:bookmarkStart w:id="5" w:name="PO_供应商资格条件_1"/>
      <w:r>
        <w:rPr>
          <w:rFonts w:hint="eastAsia" w:ascii="仿宋" w:hAnsi="仿宋" w:eastAsia="仿宋"/>
          <w:color w:val="000000" w:themeColor="text1"/>
          <w:sz w:val="24"/>
          <w:szCs w:val="24"/>
        </w:rPr>
        <w:t>1、在中华人民共和国境内注册，具有独立法人资格的合法企业（提供营业执照副本、税务登记证副本、组织机构代码证副本）；</w:t>
      </w:r>
    </w:p>
    <w:p>
      <w:pPr>
        <w:pStyle w:val="75"/>
        <w:spacing w:line="46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2、参加此采购活动前三年内，在经营活动中没有重大违法记录；</w:t>
      </w:r>
    </w:p>
    <w:p>
      <w:pPr>
        <w:pStyle w:val="75"/>
        <w:spacing w:line="46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3、不接受联合体投标。</w:t>
      </w:r>
    </w:p>
    <w:bookmarkEnd w:id="5"/>
    <w:p>
      <w:pPr>
        <w:spacing w:after="50" w:line="420" w:lineRule="exact"/>
        <w:ind w:firstLine="482" w:firstLineChars="200"/>
        <w:rPr>
          <w:rFonts w:ascii="仿宋" w:hAnsi="仿宋" w:eastAsia="仿宋" w:cs="宋体"/>
          <w:b/>
          <w:bCs/>
          <w:sz w:val="24"/>
          <w:lang w:val="zh-CN"/>
        </w:rPr>
      </w:pPr>
      <w:r>
        <w:rPr>
          <w:rFonts w:hint="eastAsia" w:ascii="仿宋" w:hAnsi="仿宋" w:eastAsia="仿宋" w:cs="宋体"/>
          <w:b/>
          <w:bCs/>
          <w:sz w:val="24"/>
          <w:lang w:val="zh-CN"/>
        </w:rPr>
        <w:t>五、资格审查：</w:t>
      </w:r>
    </w:p>
    <w:p>
      <w:pPr>
        <w:spacing w:after="50" w:line="420" w:lineRule="exact"/>
        <w:ind w:firstLine="480" w:firstLineChars="200"/>
        <w:rPr>
          <w:rFonts w:ascii="仿宋" w:hAnsi="仿宋" w:eastAsia="仿宋" w:cs="宋体"/>
          <w:bCs/>
          <w:color w:val="000000" w:themeColor="text1"/>
          <w:sz w:val="24"/>
          <w:lang w:val="zh-CN"/>
        </w:rPr>
      </w:pPr>
      <w:bookmarkStart w:id="6" w:name="PO_默认文件内容_2"/>
      <w:r>
        <w:rPr>
          <w:rFonts w:hint="eastAsia" w:ascii="仿宋" w:hAnsi="仿宋" w:eastAsia="仿宋" w:cs="宋体"/>
          <w:bCs/>
          <w:color w:val="000000" w:themeColor="text1"/>
          <w:sz w:val="24"/>
          <w:lang w:val="zh-CN"/>
        </w:rPr>
        <w:t>除明确要求在购买招标文件时需提供的资格证明文件外，本项目投标供应商的资格条件在评标时进行审查。供应商应在投标文件中按招标文件的规定和要求附上所有的资格证明文件，要求提供的复印件的必须加盖单位印章，并在必要时提供原件备查。若提供的资格证明文件不全或不实，将导致其投标或中标资格被取消。</w:t>
      </w:r>
    </w:p>
    <w:bookmarkEnd w:id="6"/>
    <w:p>
      <w:pPr>
        <w:spacing w:after="50" w:line="420" w:lineRule="exact"/>
        <w:ind w:firstLine="482" w:firstLineChars="200"/>
        <w:rPr>
          <w:rFonts w:ascii="仿宋" w:hAnsi="仿宋" w:eastAsia="仿宋"/>
          <w:b/>
          <w:sz w:val="24"/>
        </w:rPr>
      </w:pPr>
      <w:r>
        <w:rPr>
          <w:rFonts w:hint="eastAsia" w:ascii="仿宋" w:hAnsi="仿宋" w:eastAsia="仿宋"/>
          <w:b/>
          <w:sz w:val="24"/>
        </w:rPr>
        <w:t>六、招标文件获取时间、地点：</w:t>
      </w:r>
    </w:p>
    <w:p>
      <w:pPr>
        <w:spacing w:after="120" w:afterLines="50" w:line="420" w:lineRule="exact"/>
        <w:ind w:firstLine="480" w:firstLineChars="200"/>
        <w:rPr>
          <w:rFonts w:ascii="仿宋" w:hAnsi="仿宋" w:eastAsia="仿宋"/>
          <w:sz w:val="24"/>
        </w:rPr>
      </w:pPr>
      <w:bookmarkStart w:id="7" w:name="PO_默认文件内容_47"/>
      <w:r>
        <w:rPr>
          <w:rFonts w:hint="eastAsia" w:ascii="仿宋" w:hAnsi="仿宋" w:eastAsia="仿宋"/>
          <w:sz w:val="24"/>
        </w:rPr>
        <w:t>招标文件自2024年4月8日至2024年4月14日每天上午9:00- 12:00，下午13:00-17:30（北京时间，法定节假日除外）在我校指定网站(</w:t>
      </w:r>
      <w:r>
        <w:rPr>
          <w:rFonts w:ascii="仿宋" w:hAnsi="仿宋" w:eastAsia="仿宋"/>
          <w:sz w:val="24"/>
        </w:rPr>
        <w:t>http://www.cqjy.edu.cn/</w:t>
      </w:r>
      <w:r>
        <w:rPr>
          <w:rFonts w:hint="eastAsia" w:ascii="仿宋" w:hAnsi="仿宋" w:eastAsia="仿宋"/>
          <w:sz w:val="24"/>
        </w:rPr>
        <w:t>)下载，下载后告知招标方联系人。</w:t>
      </w:r>
    </w:p>
    <w:p>
      <w:pPr>
        <w:numPr>
          <w:ilvl w:val="0"/>
          <w:numId w:val="4"/>
        </w:numPr>
        <w:spacing w:after="120" w:afterLines="50" w:line="420" w:lineRule="exact"/>
        <w:ind w:firstLine="482" w:firstLineChars="200"/>
        <w:rPr>
          <w:rFonts w:ascii="仿宋" w:hAnsi="仿宋" w:eastAsia="仿宋"/>
          <w:b/>
          <w:sz w:val="24"/>
        </w:rPr>
      </w:pPr>
      <w:r>
        <w:rPr>
          <w:rFonts w:hint="eastAsia" w:ascii="仿宋" w:hAnsi="仿宋" w:eastAsia="仿宋"/>
          <w:b/>
          <w:sz w:val="24"/>
        </w:rPr>
        <w:t>投标截止时间:2024年4月14日17:30（北京时间）</w:t>
      </w:r>
    </w:p>
    <w:p>
      <w:pPr>
        <w:numPr>
          <w:ilvl w:val="0"/>
          <w:numId w:val="4"/>
        </w:numPr>
        <w:spacing w:after="120" w:afterLines="50" w:line="420" w:lineRule="exact"/>
        <w:ind w:firstLine="482" w:firstLineChars="200"/>
        <w:rPr>
          <w:rFonts w:ascii="仿宋" w:hAnsi="仿宋" w:eastAsia="仿宋"/>
          <w:sz w:val="24"/>
          <w:szCs w:val="28"/>
        </w:rPr>
      </w:pPr>
      <w:r>
        <w:rPr>
          <w:rFonts w:hint="eastAsia" w:ascii="仿宋" w:hAnsi="仿宋" w:eastAsia="仿宋"/>
          <w:b/>
          <w:sz w:val="24"/>
        </w:rPr>
        <w:t>投标时间</w:t>
      </w:r>
      <w:bookmarkEnd w:id="7"/>
      <w:r>
        <w:rPr>
          <w:rFonts w:hint="eastAsia" w:ascii="仿宋" w:hAnsi="仿宋" w:eastAsia="仿宋"/>
          <w:b/>
          <w:sz w:val="24"/>
        </w:rPr>
        <w:t>：</w:t>
      </w:r>
      <w:r>
        <w:rPr>
          <w:rFonts w:hint="eastAsia" w:hAnsi="宋体"/>
          <w:b/>
          <w:bCs/>
          <w:sz w:val="24"/>
        </w:rPr>
        <w:t>2024年4月15日9</w:t>
      </w:r>
      <w:r>
        <w:rPr>
          <w:rFonts w:hAnsi="宋体"/>
          <w:b/>
          <w:bCs/>
          <w:sz w:val="24"/>
        </w:rPr>
        <w:t>:</w:t>
      </w:r>
      <w:r>
        <w:rPr>
          <w:rFonts w:hint="eastAsia" w:hAnsi="宋体"/>
          <w:b/>
          <w:bCs/>
          <w:sz w:val="24"/>
        </w:rPr>
        <w:t>00</w:t>
      </w:r>
      <w:r>
        <w:rPr>
          <w:rFonts w:hAnsi="宋体"/>
          <w:sz w:val="24"/>
          <w:szCs w:val="28"/>
        </w:rPr>
        <w:t>（北京时间）</w:t>
      </w:r>
      <w:r>
        <w:rPr>
          <w:rFonts w:hint="eastAsia" w:ascii="仿宋" w:hAnsi="仿宋" w:eastAsia="仿宋"/>
          <w:sz w:val="24"/>
          <w:szCs w:val="28"/>
        </w:rPr>
        <w:t>。</w:t>
      </w:r>
    </w:p>
    <w:p>
      <w:pPr>
        <w:pStyle w:val="16"/>
        <w:spacing w:after="120" w:afterLines="50" w:line="420" w:lineRule="exact"/>
        <w:ind w:firstLine="480"/>
        <w:rPr>
          <w:rFonts w:ascii="仿宋" w:hAnsi="仿宋" w:eastAsia="仿宋"/>
          <w:sz w:val="24"/>
          <w:szCs w:val="28"/>
        </w:rPr>
      </w:pPr>
      <w:bookmarkStart w:id="8" w:name="PO_默认文件内容_22"/>
      <w:r>
        <w:rPr>
          <w:rFonts w:hint="eastAsia" w:ascii="仿宋" w:hAnsi="仿宋" w:eastAsia="仿宋"/>
          <w:sz w:val="24"/>
          <w:szCs w:val="28"/>
        </w:rPr>
        <w:t>投标文件必须在投标截止时间前送达开标地点。逾期送达或密封和标注不符合招标文件规定的投标文件恕不接受。本次招标不接受邮寄的投标文件。</w:t>
      </w:r>
    </w:p>
    <w:bookmarkEnd w:id="8"/>
    <w:p>
      <w:pPr>
        <w:spacing w:after="50" w:line="420" w:lineRule="exact"/>
        <w:ind w:firstLine="482" w:firstLineChars="200"/>
        <w:rPr>
          <w:rFonts w:ascii="仿宋" w:hAnsi="仿宋" w:eastAsia="仿宋"/>
          <w:b/>
          <w:sz w:val="24"/>
        </w:rPr>
      </w:pPr>
      <w:r>
        <w:rPr>
          <w:rFonts w:hint="eastAsia" w:ascii="仿宋" w:hAnsi="仿宋" w:eastAsia="仿宋"/>
          <w:b/>
          <w:sz w:val="24"/>
        </w:rPr>
        <w:t>八、</w:t>
      </w:r>
      <w:r>
        <w:rPr>
          <w:rFonts w:ascii="仿宋" w:hAnsi="仿宋" w:eastAsia="仿宋"/>
          <w:b/>
          <w:sz w:val="24"/>
        </w:rPr>
        <w:t>开标地点</w:t>
      </w:r>
      <w:r>
        <w:rPr>
          <w:rFonts w:hint="eastAsia" w:ascii="仿宋" w:hAnsi="仿宋" w:eastAsia="仿宋"/>
          <w:b/>
          <w:sz w:val="24"/>
        </w:rPr>
        <w:t>:重庆交通职业学院。</w:t>
      </w:r>
    </w:p>
    <w:p>
      <w:pPr>
        <w:pStyle w:val="65"/>
        <w:spacing w:line="420" w:lineRule="exact"/>
        <w:ind w:firstLine="482"/>
        <w:rPr>
          <w:rFonts w:ascii="仿宋" w:hAnsi="仿宋" w:eastAsia="仿宋"/>
          <w:b/>
          <w:sz w:val="24"/>
          <w:szCs w:val="28"/>
        </w:rPr>
      </w:pPr>
      <w:bookmarkStart w:id="9" w:name="PO_默认文件内容_46"/>
      <w:r>
        <w:rPr>
          <w:rFonts w:hint="eastAsia" w:ascii="仿宋" w:hAnsi="仿宋" w:eastAsia="仿宋"/>
          <w:b/>
          <w:sz w:val="24"/>
        </w:rPr>
        <w:t>九、本投标邀请在重庆交通职业学院官网以公告形式发布</w:t>
      </w:r>
      <w:bookmarkEnd w:id="9"/>
    </w:p>
    <w:p>
      <w:pPr>
        <w:pStyle w:val="65"/>
        <w:spacing w:line="420" w:lineRule="exact"/>
        <w:ind w:firstLine="482"/>
        <w:rPr>
          <w:rFonts w:ascii="仿宋" w:hAnsi="仿宋" w:eastAsia="仿宋"/>
          <w:b/>
          <w:sz w:val="24"/>
        </w:rPr>
      </w:pPr>
      <w:r>
        <w:rPr>
          <w:rFonts w:hint="eastAsia" w:ascii="仿宋" w:hAnsi="仿宋" w:eastAsia="仿宋"/>
          <w:b/>
          <w:sz w:val="24"/>
        </w:rPr>
        <w:t>十、联系方式</w:t>
      </w:r>
    </w:p>
    <w:p>
      <w:pPr>
        <w:tabs>
          <w:tab w:val="left" w:pos="2310"/>
        </w:tabs>
        <w:spacing w:line="360" w:lineRule="auto"/>
        <w:ind w:right="680" w:rightChars="200" w:firstLine="1200" w:firstLineChars="500"/>
        <w:rPr>
          <w:sz w:val="24"/>
        </w:rPr>
      </w:pPr>
      <w:r>
        <w:rPr>
          <w:rFonts w:hint="eastAsia" w:hAnsi="宋体" w:cs="宋体"/>
          <w:sz w:val="24"/>
        </w:rPr>
        <w:t>招标人：重庆交通职业学院</w:t>
      </w:r>
    </w:p>
    <w:p>
      <w:pPr>
        <w:tabs>
          <w:tab w:val="left" w:pos="2310"/>
        </w:tabs>
        <w:spacing w:line="360" w:lineRule="auto"/>
        <w:ind w:right="680" w:rightChars="200" w:firstLine="1200" w:firstLineChars="500"/>
        <w:rPr>
          <w:rFonts w:hAnsi="宋体" w:cs="宋体"/>
          <w:sz w:val="24"/>
          <w:lang w:val="zh-CN"/>
        </w:rPr>
      </w:pPr>
      <w:r>
        <w:rPr>
          <w:rFonts w:hint="eastAsia" w:hAnsi="宋体" w:cs="宋体"/>
          <w:sz w:val="24"/>
        </w:rPr>
        <w:t>联 系 人：</w:t>
      </w:r>
      <w:r>
        <w:rPr>
          <w:rFonts w:hint="eastAsia" w:hAnsi="宋体" w:cs="宋体"/>
          <w:sz w:val="24"/>
          <w:lang w:val="zh-CN"/>
        </w:rPr>
        <w:t>付振华</w:t>
      </w:r>
    </w:p>
    <w:p>
      <w:pPr>
        <w:tabs>
          <w:tab w:val="left" w:pos="2310"/>
        </w:tabs>
        <w:spacing w:line="360" w:lineRule="auto"/>
        <w:ind w:right="680" w:rightChars="200" w:firstLine="1200" w:firstLineChars="500"/>
        <w:rPr>
          <w:rFonts w:hAnsi="宋体" w:cs="宋体"/>
          <w:sz w:val="24"/>
        </w:rPr>
      </w:pPr>
      <w:r>
        <w:rPr>
          <w:rFonts w:hint="eastAsia" w:hAnsi="宋体" w:cs="宋体"/>
          <w:sz w:val="24"/>
        </w:rPr>
        <w:t>电    话：19112367665</w:t>
      </w:r>
    </w:p>
    <w:p>
      <w:pPr>
        <w:tabs>
          <w:tab w:val="left" w:pos="2310"/>
        </w:tabs>
        <w:spacing w:line="360" w:lineRule="auto"/>
        <w:ind w:right="680" w:rightChars="200" w:firstLine="1200" w:firstLineChars="500"/>
        <w:rPr>
          <w:rFonts w:hAnsi="宋体" w:cs="宋体"/>
          <w:sz w:val="24"/>
        </w:rPr>
      </w:pPr>
      <w:r>
        <w:rPr>
          <w:rFonts w:hint="eastAsia" w:hAnsi="宋体" w:cs="宋体"/>
          <w:sz w:val="24"/>
        </w:rPr>
        <w:t>联系地址：</w:t>
      </w:r>
      <w:r>
        <w:rPr>
          <w:rFonts w:hint="eastAsia" w:asciiTheme="minorEastAsia" w:hAnsiTheme="minorEastAsia" w:eastAsiaTheme="minorEastAsia"/>
          <w:sz w:val="24"/>
        </w:rPr>
        <w:t>重庆市江津区双福新区学府路69号</w:t>
      </w:r>
    </w:p>
    <w:p>
      <w:pPr>
        <w:tabs>
          <w:tab w:val="left" w:pos="2310"/>
        </w:tabs>
        <w:spacing w:line="360" w:lineRule="auto"/>
        <w:ind w:right="680" w:rightChars="200" w:firstLine="1200" w:firstLineChars="500"/>
        <w:rPr>
          <w:sz w:val="24"/>
        </w:rPr>
      </w:pPr>
      <w:r>
        <w:rPr>
          <w:rFonts w:hint="eastAsia" w:hAnsi="宋体" w:cs="宋体"/>
          <w:sz w:val="24"/>
        </w:rPr>
        <w:t>邮编：</w:t>
      </w:r>
      <w:r>
        <w:rPr>
          <w:rFonts w:hAnsi="宋体" w:cs="宋体"/>
          <w:sz w:val="24"/>
        </w:rPr>
        <w:t>610072</w:t>
      </w:r>
    </w:p>
    <w:p>
      <w:pPr>
        <w:pStyle w:val="27"/>
        <w:spacing w:after="50" w:afterAutospacing="0" w:line="420" w:lineRule="exact"/>
        <w:rPr>
          <w:rFonts w:ascii="仿宋" w:hAnsi="仿宋" w:eastAsia="仿宋"/>
          <w:b/>
        </w:rPr>
        <w:sectPr>
          <w:footerReference r:id="rId3" w:type="default"/>
          <w:type w:val="nextColumn"/>
          <w:pgSz w:w="11907" w:h="16840"/>
          <w:pgMar w:top="1440" w:right="1800" w:bottom="1440" w:left="1800" w:header="468" w:footer="992" w:gutter="0"/>
          <w:pgNumType w:start="1"/>
          <w:cols w:space="720" w:num="1"/>
          <w:docGrid w:linePitch="312" w:charSpace="0"/>
        </w:sectPr>
      </w:pPr>
    </w:p>
    <w:p>
      <w:pPr>
        <w:pStyle w:val="2"/>
        <w:spacing w:line="240" w:lineRule="atLeast"/>
        <w:jc w:val="center"/>
        <w:rPr>
          <w:rFonts w:ascii="仿宋" w:hAnsi="仿宋" w:eastAsia="仿宋"/>
          <w:bCs w:val="0"/>
          <w:sz w:val="36"/>
        </w:rPr>
      </w:pPr>
      <w:bookmarkStart w:id="10" w:name="_Toc213496267"/>
      <w:bookmarkStart w:id="11" w:name="_Toc213396759"/>
      <w:bookmarkStart w:id="12" w:name="_Toc213396945"/>
      <w:bookmarkStart w:id="13" w:name="_Toc217446031"/>
      <w:bookmarkStart w:id="14" w:name="_Toc213397009"/>
      <w:bookmarkStart w:id="15" w:name="_Toc375898984"/>
      <w:bookmarkStart w:id="16" w:name="_Toc89075871"/>
      <w:bookmarkStart w:id="17" w:name="_Toc183682339"/>
      <w:bookmarkStart w:id="18" w:name="_Toc183582202"/>
      <w:bookmarkStart w:id="19" w:name="_Toc77400776"/>
      <w:r>
        <w:rPr>
          <w:rFonts w:hint="eastAsia" w:ascii="仿宋" w:hAnsi="仿宋" w:eastAsia="仿宋"/>
          <w:bCs w:val="0"/>
          <w:sz w:val="36"/>
        </w:rPr>
        <w:t>第二章  投标人须知</w:t>
      </w:r>
      <w:bookmarkEnd w:id="10"/>
      <w:bookmarkEnd w:id="11"/>
      <w:bookmarkEnd w:id="12"/>
      <w:bookmarkEnd w:id="13"/>
      <w:bookmarkEnd w:id="14"/>
      <w:bookmarkEnd w:id="15"/>
      <w:bookmarkStart w:id="20" w:name="_Toc184283909"/>
      <w:bookmarkStart w:id="21" w:name="_Toc184274915"/>
    </w:p>
    <w:p>
      <w:pPr>
        <w:pStyle w:val="3"/>
        <w:spacing w:line="240" w:lineRule="atLeast"/>
        <w:jc w:val="center"/>
        <w:rPr>
          <w:rFonts w:ascii="仿宋" w:hAnsi="仿宋" w:eastAsia="仿宋"/>
        </w:rPr>
      </w:pPr>
      <w:bookmarkStart w:id="22" w:name="_Toc213396946"/>
      <w:bookmarkStart w:id="23" w:name="_Toc213397010"/>
      <w:bookmarkStart w:id="24" w:name="_Toc189727030"/>
      <w:bookmarkStart w:id="25" w:name="_Toc213396760"/>
      <w:bookmarkStart w:id="26" w:name="_Toc217446032"/>
      <w:bookmarkStart w:id="27" w:name="_Toc213496268"/>
      <w:r>
        <w:rPr>
          <w:rFonts w:hint="eastAsia" w:ascii="仿宋" w:hAnsi="仿宋" w:eastAsia="仿宋"/>
        </w:rPr>
        <w:t>投标人须知前附表</w:t>
      </w:r>
      <w:bookmarkEnd w:id="20"/>
      <w:bookmarkEnd w:id="21"/>
      <w:bookmarkEnd w:id="22"/>
      <w:bookmarkEnd w:id="23"/>
      <w:bookmarkEnd w:id="24"/>
      <w:bookmarkEnd w:id="25"/>
      <w:bookmarkEnd w:id="26"/>
      <w:bookmarkEnd w:id="27"/>
    </w:p>
    <w:tbl>
      <w:tblPr>
        <w:tblStyle w:val="31"/>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378"/>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2" w:type="dxa"/>
            <w:vAlign w:val="center"/>
          </w:tcPr>
          <w:p>
            <w:pPr>
              <w:pStyle w:val="77"/>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378" w:type="dxa"/>
            <w:vAlign w:val="center"/>
          </w:tcPr>
          <w:p>
            <w:pPr>
              <w:pStyle w:val="77"/>
              <w:ind w:left="38"/>
              <w:jc w:val="center"/>
              <w:rPr>
                <w:rFonts w:ascii="仿宋" w:hAnsi="仿宋" w:eastAsia="仿宋"/>
                <w:sz w:val="21"/>
                <w:szCs w:val="21"/>
                <w:lang w:val="zh-CN"/>
              </w:rPr>
            </w:pPr>
            <w:r>
              <w:rPr>
                <w:rFonts w:hint="eastAsia" w:ascii="仿宋" w:hAnsi="仿宋" w:eastAsia="仿宋"/>
                <w:sz w:val="21"/>
                <w:szCs w:val="21"/>
                <w:lang w:val="zh-CN"/>
              </w:rPr>
              <w:t>条款名称</w:t>
            </w:r>
          </w:p>
        </w:tc>
        <w:tc>
          <w:tcPr>
            <w:tcW w:w="6111" w:type="dxa"/>
            <w:vAlign w:val="center"/>
          </w:tcPr>
          <w:p>
            <w:pPr>
              <w:pStyle w:val="77"/>
              <w:jc w:val="center"/>
              <w:rPr>
                <w:rFonts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5" w:hRule="atLeas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招标人</w:t>
            </w:r>
          </w:p>
        </w:tc>
        <w:tc>
          <w:tcPr>
            <w:tcW w:w="6111" w:type="dxa"/>
            <w:vAlign w:val="center"/>
          </w:tcPr>
          <w:p>
            <w:pPr>
              <w:pStyle w:val="77"/>
              <w:spacing w:line="360" w:lineRule="auto"/>
              <w:ind w:left="767" w:leftChars="102" w:hanging="420" w:hangingChars="200"/>
              <w:rPr>
                <w:rFonts w:cs="Times New Roman"/>
                <w:sz w:val="21"/>
                <w:szCs w:val="21"/>
                <w:lang w:val="zh-CN"/>
              </w:rPr>
            </w:pPr>
            <w:r>
              <w:rPr>
                <w:rFonts w:hint="eastAsia"/>
                <w:sz w:val="21"/>
                <w:szCs w:val="21"/>
                <w:lang w:val="zh-CN"/>
              </w:rPr>
              <w:t>名称</w:t>
            </w:r>
            <w:r>
              <w:rPr>
                <w:sz w:val="21"/>
                <w:szCs w:val="21"/>
                <w:lang w:val="zh-CN"/>
              </w:rPr>
              <w:t>:</w:t>
            </w:r>
            <w:r>
              <w:rPr>
                <w:rFonts w:hint="eastAsia"/>
                <w:sz w:val="21"/>
                <w:szCs w:val="21"/>
                <w:lang w:val="zh-CN"/>
              </w:rPr>
              <w:t xml:space="preserve"> 重庆交通职业学院</w:t>
            </w:r>
          </w:p>
          <w:p>
            <w:pPr>
              <w:pStyle w:val="77"/>
              <w:spacing w:line="360" w:lineRule="auto"/>
              <w:ind w:left="767" w:leftChars="102" w:hanging="420" w:hangingChars="200"/>
              <w:rPr>
                <w:rFonts w:cs="Times New Roman"/>
                <w:color w:val="FF0000"/>
                <w:sz w:val="21"/>
                <w:szCs w:val="21"/>
              </w:rPr>
            </w:pPr>
            <w:r>
              <w:rPr>
                <w:rFonts w:hint="eastAsia"/>
                <w:sz w:val="21"/>
                <w:szCs w:val="21"/>
                <w:lang w:val="zh-CN"/>
              </w:rPr>
              <w:t>联系人：付振华</w:t>
            </w:r>
          </w:p>
          <w:p>
            <w:pPr>
              <w:pStyle w:val="77"/>
              <w:spacing w:line="360" w:lineRule="auto"/>
              <w:ind w:left="767" w:leftChars="102" w:hanging="420" w:hangingChars="200"/>
            </w:pPr>
            <w:r>
              <w:rPr>
                <w:rFonts w:hint="eastAsia"/>
                <w:sz w:val="21"/>
                <w:szCs w:val="21"/>
                <w:lang w:val="zh-CN"/>
              </w:rPr>
              <w:t>电话：</w:t>
            </w:r>
            <w:r>
              <w:rPr>
                <w:rFonts w:hint="eastAsia"/>
              </w:rPr>
              <w:t>19112367665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8" w:hRule="exac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招标项目名称</w:t>
            </w:r>
          </w:p>
        </w:tc>
        <w:tc>
          <w:tcPr>
            <w:tcW w:w="6111" w:type="dxa"/>
            <w:vAlign w:val="center"/>
          </w:tcPr>
          <w:p>
            <w:pPr>
              <w:ind w:firstLine="211" w:firstLineChars="100"/>
              <w:rPr>
                <w:rFonts w:ascii="仿宋" w:hAnsi="仿宋" w:eastAsia="仿宋" w:cs="宋体"/>
                <w:b/>
                <w:sz w:val="21"/>
                <w:szCs w:val="21"/>
              </w:rPr>
            </w:pPr>
            <w:r>
              <w:rPr>
                <w:rFonts w:hint="eastAsia" w:ascii="仿宋" w:hAnsi="仿宋" w:eastAsia="仿宋" w:cs="宋体"/>
                <w:b/>
                <w:sz w:val="21"/>
                <w:szCs w:val="21"/>
              </w:rPr>
              <w:t>AI视频智能监控系统服务器采购项目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招标编号</w:t>
            </w:r>
          </w:p>
        </w:tc>
        <w:tc>
          <w:tcPr>
            <w:tcW w:w="6111" w:type="dxa"/>
            <w:vAlign w:val="center"/>
          </w:tcPr>
          <w:p>
            <w:pPr>
              <w:ind w:firstLine="105" w:firstLineChars="50"/>
              <w:rPr>
                <w:rFonts w:ascii="仿宋" w:hAnsi="仿宋" w:eastAsia="仿宋" w:cs="宋体"/>
                <w:b/>
                <w:color w:val="FF0000"/>
                <w:sz w:val="21"/>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最高限价</w:t>
            </w:r>
          </w:p>
        </w:tc>
        <w:tc>
          <w:tcPr>
            <w:tcW w:w="6111" w:type="dxa"/>
            <w:vAlign w:val="center"/>
          </w:tcPr>
          <w:p>
            <w:pPr>
              <w:pStyle w:val="77"/>
              <w:ind w:firstLine="210" w:firstLineChars="100"/>
              <w:jc w:val="both"/>
              <w:rPr>
                <w:rFonts w:ascii="仿宋" w:hAnsi="仿宋" w:eastAsia="仿宋"/>
                <w:color w:val="FF0000"/>
                <w:sz w:val="21"/>
                <w:szCs w:val="21"/>
              </w:rPr>
            </w:pPr>
            <w:bookmarkStart w:id="28" w:name="PO_默认文件内容_4"/>
            <w:r>
              <w:rPr>
                <w:rFonts w:hint="eastAsia" w:ascii="仿宋" w:hAnsi="仿宋" w:eastAsia="仿宋"/>
                <w:sz w:val="21"/>
                <w:szCs w:val="21"/>
              </w:rPr>
              <w:t>不公布</w:t>
            </w:r>
            <w:bookmarkEnd w:id="2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招标方式</w:t>
            </w:r>
          </w:p>
        </w:tc>
        <w:tc>
          <w:tcPr>
            <w:tcW w:w="6111" w:type="dxa"/>
            <w:vAlign w:val="center"/>
          </w:tcPr>
          <w:p>
            <w:pPr>
              <w:pStyle w:val="77"/>
              <w:jc w:val="both"/>
              <w:rPr>
                <w:rFonts w:ascii="仿宋" w:hAnsi="仿宋" w:eastAsia="仿宋"/>
                <w:sz w:val="21"/>
                <w:szCs w:val="21"/>
                <w:lang w:val="zh-CN"/>
              </w:rPr>
            </w:pPr>
            <w:r>
              <w:rPr>
                <w:rFonts w:hint="eastAsia" w:ascii="仿宋" w:hAnsi="仿宋" w:eastAsia="仿宋"/>
                <w:sz w:val="21"/>
                <w:szCs w:val="21"/>
                <w:lang w:val="zh-CN"/>
              </w:rPr>
              <w:t xml:space="preserve">  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评标方法</w:t>
            </w:r>
          </w:p>
        </w:tc>
        <w:tc>
          <w:tcPr>
            <w:tcW w:w="6111" w:type="dxa"/>
            <w:vAlign w:val="center"/>
          </w:tcPr>
          <w:p>
            <w:pPr>
              <w:pStyle w:val="77"/>
              <w:ind w:left="767" w:leftChars="102" w:hanging="420" w:hangingChars="200"/>
              <w:rPr>
                <w:rFonts w:ascii="仿宋" w:hAnsi="仿宋" w:eastAsia="仿宋"/>
                <w:sz w:val="21"/>
                <w:szCs w:val="21"/>
                <w:lang w:val="zh-CN"/>
              </w:rPr>
            </w:pPr>
            <w:r>
              <w:rPr>
                <w:rFonts w:hint="eastAsia" w:ascii="仿宋" w:hAnsi="仿宋" w:eastAsia="仿宋"/>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交付时间、地点</w:t>
            </w:r>
          </w:p>
        </w:tc>
        <w:tc>
          <w:tcPr>
            <w:tcW w:w="6111" w:type="dxa"/>
            <w:vAlign w:val="center"/>
          </w:tcPr>
          <w:p>
            <w:pPr>
              <w:pStyle w:val="77"/>
              <w:spacing w:line="360" w:lineRule="auto"/>
              <w:ind w:left="767" w:leftChars="102" w:hanging="420" w:hangingChars="200"/>
              <w:rPr>
                <w:rFonts w:ascii="仿宋" w:hAnsi="仿宋" w:eastAsia="仿宋"/>
                <w:sz w:val="21"/>
                <w:szCs w:val="21"/>
                <w:lang w:val="zh-CN"/>
              </w:rPr>
            </w:pPr>
            <w:bookmarkStart w:id="29" w:name="PO_默认文件内容_23"/>
            <w:r>
              <w:rPr>
                <w:rFonts w:hint="eastAsia" w:ascii="仿宋" w:hAnsi="仿宋" w:eastAsia="仿宋"/>
                <w:sz w:val="21"/>
                <w:szCs w:val="21"/>
                <w:lang w:val="zh-CN"/>
              </w:rPr>
              <w:t>详见招标文件要求。</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5" w:hRule="exac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质量要求、验收标准</w:t>
            </w:r>
          </w:p>
        </w:tc>
        <w:tc>
          <w:tcPr>
            <w:tcW w:w="6111" w:type="dxa"/>
            <w:vAlign w:val="center"/>
          </w:tcPr>
          <w:p>
            <w:pPr>
              <w:pStyle w:val="77"/>
              <w:spacing w:line="360" w:lineRule="auto"/>
              <w:ind w:firstLine="210" w:firstLineChars="100"/>
              <w:jc w:val="both"/>
              <w:rPr>
                <w:rFonts w:ascii="仿宋" w:hAnsi="仿宋" w:eastAsia="仿宋"/>
                <w:sz w:val="21"/>
                <w:szCs w:val="21"/>
              </w:rPr>
            </w:pPr>
            <w:bookmarkStart w:id="30" w:name="PO_默认文件内容_24"/>
            <w:r>
              <w:rPr>
                <w:rFonts w:hint="eastAsia" w:ascii="仿宋" w:hAnsi="仿宋" w:eastAsia="仿宋"/>
                <w:sz w:val="21"/>
                <w:szCs w:val="21"/>
                <w:lang w:val="zh-CN"/>
              </w:rPr>
              <w:t>质量要求：按招标文件要求</w:t>
            </w:r>
            <w:r>
              <w:rPr>
                <w:rFonts w:hint="eastAsia" w:ascii="仿宋" w:hAnsi="仿宋" w:eastAsia="仿宋"/>
                <w:sz w:val="21"/>
                <w:szCs w:val="21"/>
              </w:rPr>
              <w:t>。</w:t>
            </w:r>
          </w:p>
          <w:p>
            <w:pPr>
              <w:pStyle w:val="77"/>
              <w:spacing w:line="360" w:lineRule="auto"/>
              <w:ind w:firstLine="210" w:firstLineChars="100"/>
              <w:jc w:val="both"/>
              <w:rPr>
                <w:rFonts w:ascii="仿宋" w:hAnsi="仿宋" w:eastAsia="仿宋"/>
                <w:sz w:val="21"/>
                <w:szCs w:val="21"/>
              </w:rPr>
            </w:pPr>
            <w:r>
              <w:rPr>
                <w:rFonts w:hint="eastAsia" w:ascii="仿宋" w:hAnsi="仿宋" w:eastAsia="仿宋"/>
                <w:sz w:val="21"/>
                <w:szCs w:val="21"/>
              </w:rPr>
              <w:t>验收标准：</w:t>
            </w:r>
            <w:r>
              <w:rPr>
                <w:rFonts w:hint="eastAsia" w:ascii="仿宋" w:hAnsi="仿宋" w:eastAsia="仿宋"/>
                <w:sz w:val="21"/>
                <w:szCs w:val="21"/>
                <w:lang w:val="zh-CN"/>
              </w:rPr>
              <w:t>按招标文件要求</w:t>
            </w:r>
            <w:r>
              <w:rPr>
                <w:rFonts w:hint="eastAsia" w:ascii="仿宋" w:hAnsi="仿宋" w:eastAsia="仿宋"/>
                <w:sz w:val="21"/>
                <w:szCs w:val="21"/>
              </w:rPr>
              <w:t>进行验收。</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联合体投标</w:t>
            </w:r>
          </w:p>
        </w:tc>
        <w:tc>
          <w:tcPr>
            <w:tcW w:w="6111" w:type="dxa"/>
            <w:vAlign w:val="center"/>
          </w:tcPr>
          <w:p>
            <w:pPr>
              <w:pStyle w:val="77"/>
              <w:ind w:left="340" w:leftChars="100"/>
              <w:rPr>
                <w:rFonts w:ascii="仿宋" w:hAnsi="仿宋" w:eastAsia="仿宋"/>
                <w:sz w:val="21"/>
                <w:szCs w:val="21"/>
                <w:lang w:val="zh-CN"/>
              </w:rPr>
            </w:pPr>
            <w:bookmarkStart w:id="31" w:name="PO_默认文件内容_25"/>
            <w:r>
              <w:rPr>
                <w:rFonts w:hint="eastAsia" w:ascii="仿宋" w:hAnsi="仿宋" w:eastAsia="仿宋"/>
                <w:sz w:val="21"/>
                <w:szCs w:val="21"/>
              </w:rPr>
              <w:t>本次招标不接受联合体投标。</w:t>
            </w:r>
            <w:bookmarkEnd w:id="3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考察现场、标前答疑会</w:t>
            </w:r>
          </w:p>
        </w:tc>
        <w:tc>
          <w:tcPr>
            <w:tcW w:w="6111" w:type="dxa"/>
            <w:vAlign w:val="center"/>
          </w:tcPr>
          <w:p>
            <w:pPr>
              <w:pStyle w:val="77"/>
              <w:ind w:firstLine="210" w:firstLineChars="100"/>
              <w:rPr>
                <w:rFonts w:ascii="仿宋" w:hAnsi="仿宋" w:eastAsia="仿宋"/>
                <w:sz w:val="21"/>
                <w:szCs w:val="21"/>
                <w:lang w:val="zh-CN"/>
              </w:rPr>
            </w:pPr>
            <w:bookmarkStart w:id="32" w:name="PO_默认文件内容_26"/>
            <w:r>
              <w:rPr>
                <w:rFonts w:hint="eastAsia" w:ascii="仿宋" w:hAnsi="仿宋" w:eastAsia="仿宋"/>
                <w:sz w:val="21"/>
                <w:szCs w:val="21"/>
                <w:lang w:val="zh-CN"/>
              </w:rPr>
              <w:t>招标采购单位认为有必要，另行书面通知。</w:t>
            </w:r>
            <w:bookmarkEnd w:id="3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投标人对招标文件提出异议的时间</w:t>
            </w:r>
          </w:p>
        </w:tc>
        <w:tc>
          <w:tcPr>
            <w:tcW w:w="6111" w:type="dxa"/>
            <w:vAlign w:val="center"/>
          </w:tcPr>
          <w:p>
            <w:pPr>
              <w:pStyle w:val="77"/>
              <w:ind w:firstLine="210" w:firstLineChars="100"/>
              <w:rPr>
                <w:rFonts w:ascii="仿宋" w:hAnsi="仿宋" w:eastAsia="仿宋"/>
                <w:sz w:val="21"/>
                <w:szCs w:val="21"/>
                <w:lang w:val="zh-CN"/>
              </w:rPr>
            </w:pPr>
            <w:bookmarkStart w:id="33" w:name="PO_默认文件内容_27"/>
            <w:r>
              <w:rPr>
                <w:rFonts w:hint="eastAsia" w:ascii="仿宋" w:hAnsi="仿宋" w:eastAsia="仿宋"/>
                <w:sz w:val="21"/>
                <w:szCs w:val="21"/>
                <w:lang w:val="zh-CN"/>
              </w:rPr>
              <w:t>在投标截止时间3 日前提出。</w:t>
            </w:r>
            <w:bookmarkEnd w:id="3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3" w:hRule="exac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分包履约</w:t>
            </w:r>
          </w:p>
        </w:tc>
        <w:tc>
          <w:tcPr>
            <w:tcW w:w="6111" w:type="dxa"/>
            <w:vAlign w:val="center"/>
          </w:tcPr>
          <w:p>
            <w:pPr>
              <w:pStyle w:val="77"/>
              <w:rPr>
                <w:rFonts w:ascii="仿宋" w:hAnsi="仿宋" w:eastAsia="仿宋"/>
                <w:sz w:val="21"/>
                <w:szCs w:val="21"/>
              </w:rPr>
            </w:pPr>
            <w:bookmarkStart w:id="34" w:name="PO_默认文件内容_28"/>
            <w:r>
              <w:rPr>
                <w:rFonts w:hint="eastAsia" w:ascii="仿宋" w:hAnsi="仿宋" w:eastAsia="仿宋"/>
                <w:sz w:val="21"/>
                <w:szCs w:val="21"/>
                <w:lang w:val="zh-CN"/>
              </w:rPr>
              <w:t>中标供应商</w:t>
            </w:r>
            <w:r>
              <w:rPr>
                <w:rFonts w:hint="eastAsia" w:ascii="仿宋" w:hAnsi="仿宋" w:eastAsia="仿宋"/>
                <w:sz w:val="21"/>
                <w:szCs w:val="21"/>
              </w:rPr>
              <w:t>在合同签订之前必须征得招标人同意（详见投标人须知第28条）。</w:t>
            </w:r>
            <w:bookmarkEnd w:id="3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4" w:hRule="exact"/>
          <w:jc w:val="center"/>
        </w:trPr>
        <w:tc>
          <w:tcPr>
            <w:tcW w:w="1012" w:type="dxa"/>
            <w:vAlign w:val="center"/>
          </w:tcPr>
          <w:p>
            <w:pPr>
              <w:pStyle w:val="77"/>
              <w:numPr>
                <w:ilvl w:val="0"/>
                <w:numId w:val="5"/>
              </w:numPr>
              <w:ind w:right="230"/>
              <w:jc w:val="center"/>
              <w:rPr>
                <w:rFonts w:ascii="仿宋" w:hAnsi="仿宋" w:eastAsia="仿宋"/>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构成招标文件的其他文件</w:t>
            </w:r>
          </w:p>
        </w:tc>
        <w:tc>
          <w:tcPr>
            <w:tcW w:w="6111" w:type="dxa"/>
            <w:vAlign w:val="center"/>
          </w:tcPr>
          <w:p>
            <w:pPr>
              <w:pStyle w:val="77"/>
              <w:ind w:left="210" w:hanging="210" w:hangingChars="100"/>
              <w:rPr>
                <w:rFonts w:ascii="仿宋" w:hAnsi="仿宋" w:eastAsia="仿宋"/>
                <w:sz w:val="21"/>
                <w:szCs w:val="21"/>
                <w:lang w:val="zh-CN"/>
              </w:rPr>
            </w:pPr>
            <w:bookmarkStart w:id="35" w:name="PO_默认文件内容_29"/>
            <w:r>
              <w:rPr>
                <w:rFonts w:hint="eastAsia" w:ascii="仿宋" w:hAnsi="仿宋" w:eastAsia="仿宋"/>
                <w:sz w:val="21"/>
                <w:szCs w:val="21"/>
                <w:lang w:val="zh-CN"/>
              </w:rPr>
              <w:t>招标文件的澄清</w:t>
            </w:r>
            <w:r>
              <w:rPr>
                <w:rFonts w:hint="eastAsia" w:ascii="仿宋" w:hAnsi="仿宋" w:eastAsia="仿宋"/>
                <w:sz w:val="21"/>
                <w:szCs w:val="21"/>
              </w:rPr>
              <w:t>、修改书及有关补充通知为招标文件的有效组成部分。</w:t>
            </w:r>
            <w:bookmarkEnd w:id="3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投标截止时间</w:t>
            </w:r>
          </w:p>
        </w:tc>
        <w:tc>
          <w:tcPr>
            <w:tcW w:w="6111" w:type="dxa"/>
            <w:vAlign w:val="center"/>
          </w:tcPr>
          <w:p>
            <w:pPr>
              <w:pStyle w:val="77"/>
              <w:ind w:firstLine="210" w:firstLineChars="100"/>
              <w:jc w:val="both"/>
              <w:rPr>
                <w:rFonts w:ascii="仿宋" w:hAnsi="仿宋" w:eastAsia="仿宋"/>
                <w:sz w:val="21"/>
                <w:szCs w:val="21"/>
                <w:lang w:val="zh-CN"/>
              </w:rPr>
            </w:pPr>
            <w:bookmarkStart w:id="36" w:name="PO_默认文件内容_30"/>
            <w:r>
              <w:rPr>
                <w:rFonts w:hint="eastAsia" w:ascii="仿宋" w:hAnsi="仿宋" w:eastAsia="仿宋"/>
                <w:sz w:val="21"/>
                <w:szCs w:val="21"/>
              </w:rPr>
              <w:t>同第一章</w:t>
            </w:r>
            <w:bookmarkEnd w:id="3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投标有效期</w:t>
            </w:r>
          </w:p>
        </w:tc>
        <w:tc>
          <w:tcPr>
            <w:tcW w:w="6111" w:type="dxa"/>
            <w:vAlign w:val="center"/>
          </w:tcPr>
          <w:p>
            <w:pPr>
              <w:pStyle w:val="77"/>
              <w:ind w:firstLine="210" w:firstLineChars="100"/>
              <w:jc w:val="both"/>
              <w:rPr>
                <w:rFonts w:ascii="仿宋" w:hAnsi="仿宋" w:eastAsia="仿宋"/>
                <w:sz w:val="21"/>
                <w:szCs w:val="21"/>
                <w:lang w:val="zh-CN"/>
              </w:rPr>
            </w:pPr>
            <w:bookmarkStart w:id="37" w:name="PO_默认文件内容_31"/>
            <w:r>
              <w:rPr>
                <w:rFonts w:hint="eastAsia" w:ascii="仿宋" w:hAnsi="仿宋" w:eastAsia="仿宋"/>
                <w:sz w:val="21"/>
                <w:szCs w:val="21"/>
              </w:rPr>
              <w:t>开标后60天。</w:t>
            </w:r>
            <w:bookmarkEnd w:id="37"/>
          </w:p>
        </w:tc>
      </w:tr>
      <w:bookmarkEnd w:id="16"/>
      <w:bookmarkEnd w:id="17"/>
      <w:bookmarkEnd w:id="18"/>
      <w:bookmarkEnd w:id="19"/>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1012" w:type="dxa"/>
            <w:vAlign w:val="center"/>
          </w:tcPr>
          <w:p>
            <w:pPr>
              <w:pStyle w:val="77"/>
              <w:numPr>
                <w:ilvl w:val="0"/>
                <w:numId w:val="5"/>
              </w:numPr>
              <w:ind w:right="230"/>
              <w:jc w:val="center"/>
              <w:rPr>
                <w:rFonts w:ascii="仿宋" w:hAnsi="仿宋" w:eastAsia="仿宋" w:cs="Courier New"/>
                <w:sz w:val="21"/>
                <w:szCs w:val="21"/>
                <w:lang w:val="zh-CN"/>
              </w:rPr>
            </w:pPr>
            <w:bookmarkStart w:id="38" w:name="_Toc183682341"/>
            <w:bookmarkStart w:id="39" w:name="_Toc89075873"/>
            <w:bookmarkStart w:id="40" w:name="_Toc183582204"/>
            <w:bookmarkStart w:id="41" w:name="_Toc77400778"/>
            <w:bookmarkStart w:id="42" w:name="_Toc217446033"/>
          </w:p>
        </w:tc>
        <w:tc>
          <w:tcPr>
            <w:tcW w:w="2378" w:type="dxa"/>
            <w:vAlign w:val="center"/>
          </w:tcPr>
          <w:p>
            <w:pPr>
              <w:pStyle w:val="77"/>
              <w:ind w:left="110" w:right="28"/>
              <w:rPr>
                <w:rFonts w:ascii="仿宋" w:hAnsi="仿宋" w:eastAsia="仿宋"/>
                <w:sz w:val="21"/>
                <w:szCs w:val="21"/>
                <w:lang w:val="zh-CN"/>
              </w:rPr>
            </w:pPr>
            <w:r>
              <w:rPr>
                <w:rFonts w:hint="eastAsia" w:ascii="仿宋" w:hAnsi="仿宋" w:eastAsia="仿宋"/>
                <w:sz w:val="21"/>
                <w:szCs w:val="21"/>
                <w:lang w:val="zh-CN"/>
              </w:rPr>
              <w:t>备选投标方案和报价</w:t>
            </w:r>
          </w:p>
        </w:tc>
        <w:tc>
          <w:tcPr>
            <w:tcW w:w="6111" w:type="dxa"/>
            <w:vAlign w:val="center"/>
          </w:tcPr>
          <w:p>
            <w:pPr>
              <w:pStyle w:val="77"/>
              <w:ind w:firstLine="210" w:firstLineChars="100"/>
              <w:rPr>
                <w:rFonts w:ascii="仿宋" w:hAnsi="仿宋" w:eastAsia="仿宋"/>
                <w:sz w:val="21"/>
                <w:szCs w:val="21"/>
                <w:lang w:val="zh-CN"/>
              </w:rPr>
            </w:pPr>
            <w:bookmarkStart w:id="43" w:name="PO_默认文件内容_33"/>
            <w:r>
              <w:rPr>
                <w:rFonts w:hint="eastAsia" w:ascii="仿宋" w:hAnsi="仿宋" w:eastAsia="仿宋"/>
                <w:sz w:val="21"/>
                <w:szCs w:val="21"/>
                <w:lang w:val="zh-CN"/>
              </w:rPr>
              <w:t>不接受备选投标方案和多个报价。</w:t>
            </w:r>
            <w:bookmarkEnd w:id="4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2" w:type="dxa"/>
            <w:vAlign w:val="center"/>
          </w:tcPr>
          <w:p>
            <w:pPr>
              <w:pStyle w:val="77"/>
              <w:numPr>
                <w:ilvl w:val="0"/>
                <w:numId w:val="5"/>
              </w:numPr>
              <w:ind w:right="264"/>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签字盖章</w:t>
            </w:r>
          </w:p>
        </w:tc>
        <w:tc>
          <w:tcPr>
            <w:tcW w:w="6111" w:type="dxa"/>
            <w:vAlign w:val="center"/>
          </w:tcPr>
          <w:p>
            <w:pPr>
              <w:pStyle w:val="77"/>
              <w:ind w:firstLine="210" w:firstLineChars="100"/>
              <w:rPr>
                <w:rFonts w:ascii="仿宋" w:hAnsi="仿宋" w:eastAsia="仿宋"/>
                <w:sz w:val="21"/>
                <w:szCs w:val="21"/>
                <w:lang w:val="zh-CN"/>
              </w:rPr>
            </w:pPr>
            <w:bookmarkStart w:id="44" w:name="PO_默认文件内容_34"/>
            <w:r>
              <w:rPr>
                <w:rFonts w:hint="eastAsia" w:ascii="仿宋" w:hAnsi="仿宋" w:eastAsia="仿宋"/>
                <w:sz w:val="21"/>
                <w:szCs w:val="21"/>
                <w:lang w:val="zh-CN"/>
              </w:rPr>
              <w:t>投标人必须按照招标文件的规定和要求签字、盖章（法人代表的签字可用具有法定效力的签字章）。</w:t>
            </w:r>
            <w:bookmarkEnd w:id="4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9" w:hRule="exact"/>
          <w:jc w:val="center"/>
        </w:trPr>
        <w:tc>
          <w:tcPr>
            <w:tcW w:w="1012" w:type="dxa"/>
            <w:vAlign w:val="center"/>
          </w:tcPr>
          <w:p>
            <w:pPr>
              <w:pStyle w:val="77"/>
              <w:numPr>
                <w:ilvl w:val="0"/>
                <w:numId w:val="5"/>
              </w:numPr>
              <w:ind w:right="264"/>
              <w:jc w:val="center"/>
              <w:rPr>
                <w:rFonts w:ascii="仿宋" w:hAnsi="仿宋" w:eastAsia="仿宋"/>
                <w:sz w:val="21"/>
                <w:szCs w:val="21"/>
                <w:lang w:val="zh-CN"/>
              </w:rPr>
            </w:pPr>
          </w:p>
        </w:tc>
        <w:tc>
          <w:tcPr>
            <w:tcW w:w="2378" w:type="dxa"/>
            <w:vAlign w:val="center"/>
          </w:tcPr>
          <w:p>
            <w:pPr>
              <w:pStyle w:val="77"/>
              <w:ind w:left="419" w:leftChars="53" w:hanging="239" w:hangingChars="114"/>
              <w:rPr>
                <w:rFonts w:ascii="仿宋" w:hAnsi="仿宋" w:eastAsia="仿宋"/>
                <w:sz w:val="21"/>
                <w:szCs w:val="21"/>
                <w:lang w:val="zh-CN"/>
              </w:rPr>
            </w:pPr>
            <w:r>
              <w:rPr>
                <w:rFonts w:hint="eastAsia" w:ascii="仿宋" w:hAnsi="仿宋" w:eastAsia="仿宋"/>
                <w:sz w:val="21"/>
                <w:szCs w:val="21"/>
                <w:lang w:val="zh-CN"/>
              </w:rPr>
              <w:t>投标文件份数</w:t>
            </w:r>
          </w:p>
        </w:tc>
        <w:tc>
          <w:tcPr>
            <w:tcW w:w="6111" w:type="dxa"/>
            <w:vAlign w:val="center"/>
          </w:tcPr>
          <w:p>
            <w:pPr>
              <w:pStyle w:val="77"/>
              <w:ind w:firstLine="210" w:firstLineChars="100"/>
              <w:rPr>
                <w:rFonts w:ascii="仿宋" w:hAnsi="仿宋" w:eastAsia="仿宋"/>
                <w:sz w:val="21"/>
                <w:szCs w:val="21"/>
                <w:u w:val="single"/>
                <w:lang w:val="zh-CN"/>
              </w:rPr>
            </w:pPr>
            <w:r>
              <w:rPr>
                <w:rFonts w:hint="eastAsia" w:ascii="仿宋" w:hAnsi="仿宋" w:eastAsia="仿宋"/>
                <w:sz w:val="21"/>
                <w:szCs w:val="21"/>
                <w:lang w:val="zh-CN"/>
              </w:rPr>
              <w:t>正本1份；副本</w:t>
            </w:r>
            <w:r>
              <w:rPr>
                <w:rFonts w:hint="eastAsia" w:ascii="仿宋" w:hAnsi="仿宋" w:eastAsia="仿宋"/>
                <w:sz w:val="21"/>
                <w:szCs w:val="21"/>
              </w:rPr>
              <w:t>1</w:t>
            </w:r>
            <w:r>
              <w:rPr>
                <w:rFonts w:hint="eastAsia" w:ascii="仿宋" w:hAnsi="仿宋" w:eastAsia="仿宋"/>
                <w:sz w:val="21"/>
                <w:szCs w:val="21"/>
                <w:lang w:val="zh-CN"/>
              </w:rPr>
              <w:t>份；</w:t>
            </w:r>
            <w:r>
              <w:rPr>
                <w:rFonts w:hint="eastAsia" w:ascii="仿宋" w:hAnsi="仿宋" w:eastAsia="仿宋"/>
                <w:sz w:val="21"/>
                <w:szCs w:val="21"/>
              </w:rPr>
              <w:t>用于唱标的“开标一览表”一式一份。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1012" w:type="dxa"/>
            <w:vAlign w:val="center"/>
          </w:tcPr>
          <w:p>
            <w:pPr>
              <w:pStyle w:val="77"/>
              <w:numPr>
                <w:ilvl w:val="0"/>
                <w:numId w:val="5"/>
              </w:numPr>
              <w:ind w:right="264"/>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投标文件的装订</w:t>
            </w:r>
          </w:p>
        </w:tc>
        <w:tc>
          <w:tcPr>
            <w:tcW w:w="6111" w:type="dxa"/>
            <w:vAlign w:val="center"/>
          </w:tcPr>
          <w:p>
            <w:pPr>
              <w:pStyle w:val="77"/>
              <w:ind w:firstLine="210" w:firstLineChars="100"/>
              <w:rPr>
                <w:rFonts w:ascii="仿宋" w:hAnsi="仿宋" w:eastAsia="仿宋"/>
                <w:sz w:val="21"/>
                <w:szCs w:val="21"/>
                <w:lang w:val="zh-CN"/>
              </w:rPr>
            </w:pPr>
            <w:bookmarkStart w:id="45" w:name="PO_默认文件内容_35"/>
            <w:r>
              <w:rPr>
                <w:rFonts w:hint="eastAsia" w:ascii="仿宋" w:hAnsi="仿宋" w:eastAsia="仿宋"/>
                <w:sz w:val="21"/>
                <w:szCs w:val="21"/>
                <w:lang w:val="zh-CN"/>
              </w:rPr>
              <w:t>正本和副本及用于唱标的“开标一览表”分别装订。</w:t>
            </w:r>
            <w:bookmarkEnd w:id="4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1012" w:type="dxa"/>
            <w:vAlign w:val="center"/>
          </w:tcPr>
          <w:p>
            <w:pPr>
              <w:pStyle w:val="77"/>
              <w:numPr>
                <w:ilvl w:val="0"/>
                <w:numId w:val="5"/>
              </w:numPr>
              <w:ind w:right="264"/>
              <w:jc w:val="center"/>
              <w:rPr>
                <w:rFonts w:ascii="仿宋" w:hAnsi="仿宋" w:eastAsia="仿宋" w:cs="Arial"/>
                <w:sz w:val="21"/>
                <w:szCs w:val="21"/>
                <w:lang w:val="zh-CN"/>
              </w:rPr>
            </w:pPr>
          </w:p>
        </w:tc>
        <w:tc>
          <w:tcPr>
            <w:tcW w:w="2378" w:type="dxa"/>
            <w:vAlign w:val="center"/>
          </w:tcPr>
          <w:p>
            <w:pPr>
              <w:pStyle w:val="77"/>
              <w:ind w:firstLine="109" w:firstLineChars="52"/>
              <w:rPr>
                <w:rFonts w:ascii="仿宋" w:hAnsi="仿宋" w:eastAsia="仿宋" w:cs="Arial"/>
                <w:sz w:val="21"/>
                <w:szCs w:val="21"/>
                <w:lang w:val="zh-CN"/>
              </w:rPr>
            </w:pPr>
            <w:r>
              <w:rPr>
                <w:rFonts w:hint="eastAsia" w:ascii="仿宋" w:hAnsi="仿宋" w:eastAsia="仿宋"/>
                <w:sz w:val="21"/>
                <w:szCs w:val="21"/>
                <w:lang w:val="zh-CN"/>
              </w:rPr>
              <w:t>投标文件封面的标注</w:t>
            </w:r>
          </w:p>
        </w:tc>
        <w:tc>
          <w:tcPr>
            <w:tcW w:w="6111" w:type="dxa"/>
            <w:vAlign w:val="center"/>
          </w:tcPr>
          <w:p>
            <w:pPr>
              <w:pStyle w:val="77"/>
              <w:ind w:firstLine="210" w:firstLineChars="100"/>
              <w:jc w:val="both"/>
              <w:rPr>
                <w:rFonts w:ascii="仿宋" w:hAnsi="仿宋" w:eastAsia="仿宋"/>
                <w:sz w:val="21"/>
                <w:szCs w:val="21"/>
                <w:lang w:val="zh-CN"/>
              </w:rPr>
            </w:pPr>
            <w:bookmarkStart w:id="46" w:name="PO_默认文件内容_36"/>
            <w:r>
              <w:rPr>
                <w:rFonts w:hint="eastAsia" w:ascii="仿宋" w:hAnsi="仿宋" w:eastAsia="仿宋"/>
                <w:sz w:val="21"/>
                <w:szCs w:val="21"/>
                <w:lang w:val="zh-CN"/>
              </w:rPr>
              <w:t>投标文件正本和副本的封面上均应标明：招标项目名称、招标编号、分包号（如有分包）、投标人名称、年月日；并分别在右上角标明“正本”和“副本”字样。</w:t>
            </w:r>
            <w:bookmarkEnd w:id="4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1012" w:type="dxa"/>
            <w:vAlign w:val="center"/>
          </w:tcPr>
          <w:p>
            <w:pPr>
              <w:pStyle w:val="77"/>
              <w:numPr>
                <w:ilvl w:val="0"/>
                <w:numId w:val="5"/>
              </w:numPr>
              <w:ind w:right="264"/>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投标文件外层密封袋的标注</w:t>
            </w:r>
          </w:p>
        </w:tc>
        <w:tc>
          <w:tcPr>
            <w:tcW w:w="6111" w:type="dxa"/>
            <w:vAlign w:val="center"/>
          </w:tcPr>
          <w:p>
            <w:pPr>
              <w:pStyle w:val="77"/>
              <w:ind w:firstLine="210" w:firstLineChars="100"/>
              <w:jc w:val="both"/>
              <w:rPr>
                <w:rFonts w:ascii="仿宋" w:hAnsi="仿宋" w:eastAsia="仿宋"/>
                <w:sz w:val="21"/>
                <w:szCs w:val="21"/>
                <w:lang w:val="zh-CN"/>
              </w:rPr>
            </w:pPr>
            <w:bookmarkStart w:id="47" w:name="PO_默认文件内容_37"/>
            <w:r>
              <w:rPr>
                <w:rFonts w:hint="eastAsia" w:ascii="仿宋" w:hAnsi="仿宋" w:eastAsia="仿宋"/>
                <w:sz w:val="21"/>
                <w:szCs w:val="21"/>
                <w:lang w:val="zh-CN"/>
              </w:rPr>
              <w:t>招标项目名称、招标编号、分包号（如有分包）、投标人名称、年月日。</w:t>
            </w:r>
            <w:bookmarkEnd w:id="4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5" w:hRule="exact"/>
          <w:jc w:val="center"/>
        </w:trPr>
        <w:tc>
          <w:tcPr>
            <w:tcW w:w="1012" w:type="dxa"/>
            <w:vAlign w:val="center"/>
          </w:tcPr>
          <w:p>
            <w:pPr>
              <w:pStyle w:val="77"/>
              <w:numPr>
                <w:ilvl w:val="0"/>
                <w:numId w:val="5"/>
              </w:numPr>
              <w:ind w:right="264"/>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sz w:val="21"/>
                <w:szCs w:val="21"/>
                <w:lang w:val="zh-CN"/>
              </w:rPr>
            </w:pPr>
            <w:r>
              <w:rPr>
                <w:rFonts w:hint="eastAsia" w:ascii="仿宋" w:hAnsi="仿宋" w:eastAsia="仿宋"/>
                <w:sz w:val="21"/>
                <w:szCs w:val="21"/>
                <w:lang w:val="zh-CN"/>
              </w:rPr>
              <w:t>递交投标文件地点</w:t>
            </w:r>
          </w:p>
        </w:tc>
        <w:tc>
          <w:tcPr>
            <w:tcW w:w="6111" w:type="dxa"/>
            <w:vAlign w:val="center"/>
          </w:tcPr>
          <w:p>
            <w:pPr>
              <w:autoSpaceDE w:val="0"/>
              <w:autoSpaceDN w:val="0"/>
              <w:adjustRightInd w:val="0"/>
              <w:jc w:val="left"/>
              <w:rPr>
                <w:rFonts w:ascii="仿宋" w:hAnsi="仿宋" w:eastAsia="仿宋"/>
                <w:sz w:val="21"/>
                <w:szCs w:val="21"/>
              </w:rPr>
            </w:pPr>
            <w:r>
              <w:rPr>
                <w:rFonts w:hint="eastAsia" w:ascii="仿宋" w:hAnsi="仿宋" w:eastAsia="仿宋"/>
                <w:sz w:val="21"/>
                <w:szCs w:val="21"/>
              </w:rPr>
              <w:t xml:space="preserve">  重庆交通职业学院。（现场递交投标文件）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1012" w:type="dxa"/>
            <w:vAlign w:val="center"/>
          </w:tcPr>
          <w:p>
            <w:pPr>
              <w:pStyle w:val="77"/>
              <w:numPr>
                <w:ilvl w:val="0"/>
                <w:numId w:val="5"/>
              </w:numPr>
              <w:ind w:right="264"/>
              <w:jc w:val="center"/>
              <w:rPr>
                <w:rFonts w:ascii="仿宋" w:hAnsi="仿宋" w:eastAsia="仿宋" w:cs="Courier New"/>
                <w:sz w:val="21"/>
                <w:szCs w:val="21"/>
                <w:lang w:val="zh-CN"/>
              </w:rPr>
            </w:pPr>
          </w:p>
        </w:tc>
        <w:tc>
          <w:tcPr>
            <w:tcW w:w="2378" w:type="dxa"/>
            <w:vAlign w:val="center"/>
          </w:tcPr>
          <w:p>
            <w:pPr>
              <w:pStyle w:val="77"/>
              <w:ind w:left="110"/>
              <w:rPr>
                <w:rFonts w:ascii="仿宋" w:hAnsi="仿宋" w:eastAsia="仿宋" w:cs="Arial"/>
                <w:sz w:val="21"/>
                <w:szCs w:val="21"/>
                <w:lang w:val="zh-CN"/>
              </w:rPr>
            </w:pPr>
            <w:r>
              <w:rPr>
                <w:rFonts w:hint="eastAsia" w:ascii="仿宋" w:hAnsi="仿宋" w:eastAsia="仿宋"/>
                <w:sz w:val="21"/>
                <w:szCs w:val="21"/>
                <w:lang w:val="zh-CN"/>
              </w:rPr>
              <w:t>开标时间和地点</w:t>
            </w:r>
          </w:p>
        </w:tc>
        <w:tc>
          <w:tcPr>
            <w:tcW w:w="6111" w:type="dxa"/>
            <w:vAlign w:val="center"/>
          </w:tcPr>
          <w:p>
            <w:pPr>
              <w:pStyle w:val="77"/>
              <w:ind w:firstLine="210" w:firstLineChars="100"/>
              <w:rPr>
                <w:rFonts w:ascii="仿宋" w:hAnsi="仿宋" w:eastAsia="仿宋"/>
                <w:sz w:val="21"/>
                <w:szCs w:val="21"/>
                <w:lang w:val="zh-CN"/>
              </w:rPr>
            </w:pPr>
            <w:bookmarkStart w:id="48" w:name="PO_默认文件内容_39"/>
            <w:r>
              <w:rPr>
                <w:rFonts w:hint="eastAsia" w:ascii="仿宋" w:hAnsi="仿宋" w:eastAsia="仿宋"/>
                <w:sz w:val="21"/>
                <w:szCs w:val="21"/>
                <w:lang w:val="zh-CN"/>
              </w:rPr>
              <w:t>开标时间：同投标截止时间。</w:t>
            </w:r>
          </w:p>
          <w:p>
            <w:pPr>
              <w:pStyle w:val="77"/>
              <w:ind w:firstLine="210" w:firstLineChars="100"/>
              <w:rPr>
                <w:rFonts w:ascii="仿宋" w:hAnsi="仿宋" w:eastAsia="仿宋"/>
                <w:sz w:val="21"/>
                <w:szCs w:val="21"/>
                <w:lang w:val="zh-CN"/>
              </w:rPr>
            </w:pPr>
            <w:r>
              <w:rPr>
                <w:rFonts w:hint="eastAsia" w:ascii="仿宋" w:hAnsi="仿宋" w:eastAsia="仿宋"/>
                <w:sz w:val="21"/>
                <w:szCs w:val="21"/>
                <w:lang w:val="zh-CN"/>
              </w:rPr>
              <w:t>开标地点：同投标文件递交地点。</w:t>
            </w:r>
            <w:bookmarkEnd w:id="48"/>
          </w:p>
        </w:tc>
      </w:tr>
    </w:tbl>
    <w:p>
      <w:pPr>
        <w:pStyle w:val="3"/>
        <w:spacing w:line="400" w:lineRule="exact"/>
        <w:rPr>
          <w:rFonts w:ascii="仿宋" w:hAnsi="仿宋" w:eastAsia="仿宋"/>
          <w:bCs w:val="0"/>
        </w:rPr>
        <w:sectPr>
          <w:pgSz w:w="11907" w:h="16840"/>
          <w:pgMar w:top="1440" w:right="1474" w:bottom="1440" w:left="1474" w:header="851" w:footer="992" w:gutter="0"/>
          <w:cols w:space="720" w:num="1"/>
          <w:docGrid w:linePitch="312" w:charSpace="0"/>
        </w:sectPr>
      </w:pPr>
    </w:p>
    <w:p>
      <w:pPr>
        <w:pStyle w:val="3"/>
        <w:spacing w:line="400" w:lineRule="exact"/>
        <w:jc w:val="center"/>
        <w:rPr>
          <w:rFonts w:ascii="仿宋" w:hAnsi="仿宋" w:eastAsia="仿宋"/>
          <w:bCs w:val="0"/>
        </w:rPr>
      </w:pPr>
      <w:r>
        <w:rPr>
          <w:rFonts w:hint="eastAsia" w:ascii="仿宋" w:hAnsi="仿宋" w:eastAsia="仿宋"/>
          <w:bCs w:val="0"/>
        </w:rPr>
        <w:t>一、总  则</w:t>
      </w:r>
      <w:bookmarkEnd w:id="38"/>
      <w:bookmarkEnd w:id="39"/>
      <w:bookmarkEnd w:id="40"/>
      <w:bookmarkEnd w:id="41"/>
      <w:bookmarkEnd w:id="42"/>
    </w:p>
    <w:p>
      <w:pPr>
        <w:pStyle w:val="4"/>
        <w:spacing w:line="400" w:lineRule="exact"/>
        <w:ind w:firstLine="482" w:firstLineChars="200"/>
        <w:rPr>
          <w:rFonts w:ascii="仿宋" w:hAnsi="仿宋" w:eastAsia="仿宋"/>
          <w:sz w:val="24"/>
        </w:rPr>
      </w:pPr>
      <w:bookmarkStart w:id="49" w:name="_Toc183582205"/>
      <w:bookmarkStart w:id="50" w:name="_Toc183682342"/>
      <w:bookmarkStart w:id="51" w:name="_Toc217446034"/>
      <w:bookmarkStart w:id="52" w:name="PO_默认文件内容_41"/>
      <w:r>
        <w:rPr>
          <w:rFonts w:hint="eastAsia" w:ascii="仿宋" w:hAnsi="仿宋" w:eastAsia="仿宋"/>
          <w:sz w:val="24"/>
        </w:rPr>
        <w:t>1</w:t>
      </w:r>
      <w:r>
        <w:rPr>
          <w:rFonts w:ascii="仿宋" w:hAnsi="仿宋" w:eastAsia="仿宋"/>
          <w:sz w:val="24"/>
        </w:rPr>
        <w:t>.</w:t>
      </w:r>
      <w:bookmarkEnd w:id="49"/>
      <w:bookmarkEnd w:id="50"/>
      <w:r>
        <w:rPr>
          <w:rFonts w:hint="eastAsia" w:ascii="仿宋" w:hAnsi="仿宋" w:eastAsia="仿宋"/>
          <w:sz w:val="24"/>
          <w:szCs w:val="24"/>
        </w:rPr>
        <w:t>适用范围</w:t>
      </w:r>
      <w:bookmarkEnd w:id="51"/>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本招标文件仅适用于本次公开招标所叙述的货物和服务项目采购。</w:t>
      </w:r>
    </w:p>
    <w:p>
      <w:pPr>
        <w:pStyle w:val="4"/>
        <w:spacing w:line="400" w:lineRule="exact"/>
        <w:ind w:firstLine="482" w:firstLineChars="200"/>
        <w:rPr>
          <w:rFonts w:ascii="仿宋" w:hAnsi="仿宋" w:eastAsia="仿宋"/>
          <w:sz w:val="24"/>
        </w:rPr>
      </w:pPr>
      <w:bookmarkStart w:id="53" w:name="_Toc183682343"/>
      <w:bookmarkStart w:id="54" w:name="_Toc183582206"/>
      <w:bookmarkStart w:id="55" w:name="_Toc217446035"/>
      <w:r>
        <w:rPr>
          <w:rFonts w:ascii="仿宋" w:hAnsi="仿宋" w:eastAsia="仿宋"/>
          <w:sz w:val="24"/>
        </w:rPr>
        <w:t>2.</w:t>
      </w:r>
      <w:bookmarkEnd w:id="53"/>
      <w:bookmarkEnd w:id="54"/>
      <w:r>
        <w:rPr>
          <w:rFonts w:hint="eastAsia" w:ascii="仿宋" w:hAnsi="仿宋" w:eastAsia="仿宋"/>
          <w:sz w:val="24"/>
        </w:rPr>
        <w:t>有关</w:t>
      </w:r>
      <w:r>
        <w:rPr>
          <w:rFonts w:hint="eastAsia" w:ascii="仿宋" w:hAnsi="仿宋" w:eastAsia="仿宋"/>
          <w:sz w:val="24"/>
          <w:szCs w:val="24"/>
        </w:rPr>
        <w:t>定义</w:t>
      </w:r>
      <w:bookmarkEnd w:id="55"/>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 “招标人”系指依法进行采购的使用者。本次招标的招标人是</w:t>
      </w:r>
      <w:bookmarkEnd w:id="52"/>
      <w:r>
        <w:rPr>
          <w:rFonts w:hint="eastAsia" w:ascii="仿宋" w:hAnsi="仿宋" w:eastAsia="仿宋"/>
          <w:sz w:val="24"/>
          <w:szCs w:val="22"/>
          <w:u w:val="single"/>
        </w:rPr>
        <w:t>重庆交通职业学院</w:t>
      </w:r>
      <w:r>
        <w:rPr>
          <w:rFonts w:hint="eastAsia" w:ascii="仿宋" w:hAnsi="仿宋" w:eastAsia="仿宋"/>
          <w:sz w:val="24"/>
        </w:rPr>
        <w:t>。</w:t>
      </w:r>
    </w:p>
    <w:p>
      <w:pPr>
        <w:tabs>
          <w:tab w:val="left" w:pos="7665"/>
        </w:tabs>
        <w:spacing w:line="400" w:lineRule="exact"/>
        <w:ind w:firstLine="480" w:firstLineChars="200"/>
        <w:rPr>
          <w:rFonts w:ascii="仿宋" w:hAnsi="仿宋" w:eastAsia="仿宋"/>
          <w:sz w:val="24"/>
        </w:rPr>
      </w:pPr>
      <w:bookmarkStart w:id="56" w:name="PO_默认文件内容_42"/>
      <w:r>
        <w:rPr>
          <w:rFonts w:hint="eastAsia" w:ascii="仿宋" w:hAnsi="仿宋" w:eastAsia="仿宋"/>
          <w:sz w:val="24"/>
        </w:rPr>
        <w:t>2.2 “招标采购单位”系指“招标人”。</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3 “投标人”系指下载了招标文件拟参加投标和向招标人提供货物及相应服务的供应商。</w:t>
      </w:r>
      <w:bookmarkEnd w:id="56"/>
    </w:p>
    <w:p>
      <w:pPr>
        <w:pStyle w:val="4"/>
        <w:spacing w:line="400" w:lineRule="exact"/>
        <w:ind w:firstLine="482" w:firstLineChars="200"/>
        <w:rPr>
          <w:rFonts w:ascii="仿宋" w:hAnsi="仿宋" w:eastAsia="仿宋"/>
          <w:sz w:val="24"/>
        </w:rPr>
      </w:pPr>
      <w:bookmarkStart w:id="57" w:name="_Toc183582207"/>
      <w:bookmarkStart w:id="58" w:name="_Toc183682344"/>
      <w:bookmarkStart w:id="59" w:name="_Toc217390843"/>
      <w:bookmarkStart w:id="60" w:name="_Toc217446036"/>
      <w:bookmarkStart w:id="61" w:name="PO_默认文件内容_8"/>
      <w:r>
        <w:rPr>
          <w:rFonts w:ascii="仿宋" w:hAnsi="仿宋" w:eastAsia="仿宋"/>
          <w:sz w:val="24"/>
        </w:rPr>
        <w:t>3.</w:t>
      </w:r>
      <w:r>
        <w:rPr>
          <w:rFonts w:hint="eastAsia" w:ascii="仿宋" w:hAnsi="仿宋" w:eastAsia="仿宋"/>
          <w:sz w:val="24"/>
        </w:rPr>
        <w:t xml:space="preserve"> 合格的投标人</w:t>
      </w:r>
      <w:bookmarkEnd w:id="57"/>
      <w:bookmarkEnd w:id="58"/>
      <w:bookmarkEnd w:id="59"/>
      <w:bookmarkEnd w:id="60"/>
    </w:p>
    <w:p>
      <w:pPr>
        <w:tabs>
          <w:tab w:val="left" w:pos="7665"/>
        </w:tabs>
        <w:spacing w:line="400" w:lineRule="exact"/>
        <w:rPr>
          <w:rFonts w:ascii="仿宋" w:hAnsi="仿宋" w:eastAsia="仿宋"/>
          <w:color w:val="000000" w:themeColor="text1"/>
          <w:sz w:val="24"/>
        </w:rPr>
      </w:pPr>
      <w:r>
        <w:rPr>
          <w:rFonts w:hint="eastAsia" w:ascii="仿宋" w:hAnsi="仿宋" w:eastAsia="仿宋"/>
          <w:color w:val="000000" w:themeColor="text1"/>
          <w:sz w:val="24"/>
        </w:rPr>
        <w:t>合格的投标人应具备以下条件：</w:t>
      </w:r>
    </w:p>
    <w:p>
      <w:pPr>
        <w:tabs>
          <w:tab w:val="left" w:pos="7665"/>
        </w:tabs>
        <w:spacing w:line="400" w:lineRule="exact"/>
        <w:ind w:firstLine="480" w:firstLineChars="200"/>
        <w:rPr>
          <w:rFonts w:ascii="仿宋" w:hAnsi="仿宋" w:eastAsia="仿宋"/>
          <w:color w:val="000000" w:themeColor="text1"/>
          <w:spacing w:val="-4"/>
          <w:sz w:val="24"/>
        </w:rPr>
      </w:pPr>
      <w:r>
        <w:rPr>
          <w:rFonts w:hint="eastAsia" w:ascii="仿宋" w:hAnsi="仿宋" w:eastAsia="仿宋"/>
          <w:color w:val="000000" w:themeColor="text1"/>
          <w:sz w:val="24"/>
        </w:rPr>
        <w:t>（1）具备“投标邀请”的基本条件</w:t>
      </w:r>
      <w:r>
        <w:rPr>
          <w:rFonts w:hint="eastAsia" w:ascii="仿宋" w:hAnsi="仿宋" w:eastAsia="仿宋"/>
          <w:color w:val="000000" w:themeColor="text1"/>
          <w:spacing w:val="-4"/>
          <w:sz w:val="24"/>
        </w:rPr>
        <w:t>；</w:t>
      </w:r>
    </w:p>
    <w:p>
      <w:pPr>
        <w:tabs>
          <w:tab w:val="left" w:pos="7665"/>
        </w:tabs>
        <w:spacing w:line="400" w:lineRule="exact"/>
        <w:rPr>
          <w:rFonts w:ascii="仿宋" w:hAnsi="仿宋" w:eastAsia="仿宋"/>
          <w:color w:val="000000" w:themeColor="text1"/>
          <w:sz w:val="24"/>
        </w:rPr>
      </w:pPr>
      <w:r>
        <w:rPr>
          <w:rFonts w:hint="eastAsia" w:ascii="仿宋" w:hAnsi="仿宋" w:eastAsia="仿宋"/>
          <w:color w:val="000000" w:themeColor="text1"/>
          <w:sz w:val="24"/>
        </w:rPr>
        <w:t xml:space="preserve">    （2）下载了招标文件并登记备案；</w:t>
      </w:r>
    </w:p>
    <w:p>
      <w:pPr>
        <w:tabs>
          <w:tab w:val="left" w:pos="7665"/>
        </w:tabs>
        <w:spacing w:line="400" w:lineRule="exact"/>
        <w:ind w:firstLine="480"/>
        <w:rPr>
          <w:rFonts w:ascii="仿宋" w:hAnsi="仿宋" w:eastAsia="仿宋"/>
          <w:color w:val="000000" w:themeColor="text1"/>
          <w:sz w:val="24"/>
        </w:rPr>
      </w:pPr>
      <w:r>
        <w:rPr>
          <w:rFonts w:hint="eastAsia" w:ascii="仿宋" w:hAnsi="仿宋" w:eastAsia="仿宋"/>
          <w:color w:val="000000" w:themeColor="text1"/>
          <w:sz w:val="24"/>
        </w:rPr>
        <w:t>（3）遵守国家有关的法律、法规和条例；</w:t>
      </w:r>
    </w:p>
    <w:p>
      <w:pPr>
        <w:tabs>
          <w:tab w:val="left" w:pos="7665"/>
        </w:tabs>
        <w:spacing w:line="400" w:lineRule="exact"/>
        <w:ind w:firstLine="480"/>
        <w:rPr>
          <w:rFonts w:ascii="仿宋" w:hAnsi="仿宋" w:eastAsia="仿宋"/>
          <w:color w:val="000000" w:themeColor="text1"/>
          <w:sz w:val="24"/>
        </w:rPr>
      </w:pPr>
      <w:r>
        <w:rPr>
          <w:rFonts w:hint="eastAsia" w:ascii="仿宋" w:hAnsi="仿宋" w:eastAsia="仿宋"/>
          <w:color w:val="000000" w:themeColor="text1"/>
          <w:sz w:val="24"/>
        </w:rPr>
        <w:t>（4）招标文件和法律、行政法规规定的其他条件。</w:t>
      </w:r>
    </w:p>
    <w:p>
      <w:pPr>
        <w:pStyle w:val="4"/>
        <w:spacing w:line="400" w:lineRule="exact"/>
        <w:ind w:firstLine="482" w:firstLineChars="200"/>
        <w:rPr>
          <w:rFonts w:ascii="仿宋" w:hAnsi="仿宋" w:eastAsia="仿宋"/>
          <w:color w:val="000000" w:themeColor="text1"/>
          <w:sz w:val="24"/>
        </w:rPr>
      </w:pPr>
      <w:bookmarkStart w:id="62" w:name="_Toc183582208"/>
      <w:bookmarkStart w:id="63" w:name="_Toc183682345"/>
      <w:bookmarkStart w:id="64" w:name="_Toc217446037"/>
      <w:r>
        <w:rPr>
          <w:rFonts w:hint="eastAsia" w:ascii="仿宋" w:hAnsi="仿宋" w:eastAsia="仿宋"/>
          <w:color w:val="000000" w:themeColor="text1"/>
          <w:sz w:val="24"/>
        </w:rPr>
        <w:t>4. 投标费用</w:t>
      </w:r>
      <w:bookmarkEnd w:id="62"/>
      <w:bookmarkEnd w:id="63"/>
      <w:bookmarkEnd w:id="64"/>
    </w:p>
    <w:p>
      <w:pPr>
        <w:tabs>
          <w:tab w:val="left" w:pos="7665"/>
        </w:tabs>
        <w:spacing w:line="400" w:lineRule="exact"/>
        <w:rPr>
          <w:rFonts w:ascii="仿宋" w:hAnsi="仿宋" w:eastAsia="仿宋"/>
          <w:b/>
          <w:color w:val="000000" w:themeColor="text1"/>
          <w:sz w:val="24"/>
        </w:rPr>
      </w:pPr>
      <w:r>
        <w:rPr>
          <w:rFonts w:hint="eastAsia" w:ascii="仿宋" w:hAnsi="仿宋" w:eastAsia="仿宋"/>
          <w:color w:val="000000" w:themeColor="text1"/>
          <w:sz w:val="24"/>
        </w:rPr>
        <w:t xml:space="preserve">    投标人参加投标的有关费用由投标人自行承担。</w:t>
      </w:r>
    </w:p>
    <w:p>
      <w:pPr>
        <w:pStyle w:val="3"/>
        <w:spacing w:line="400" w:lineRule="exact"/>
        <w:jc w:val="center"/>
        <w:rPr>
          <w:rFonts w:ascii="仿宋" w:hAnsi="仿宋" w:eastAsia="仿宋"/>
          <w:bCs w:val="0"/>
          <w:color w:val="000000" w:themeColor="text1"/>
        </w:rPr>
      </w:pPr>
      <w:bookmarkStart w:id="65" w:name="_Toc183682346"/>
      <w:bookmarkStart w:id="66" w:name="_Toc89075875"/>
      <w:bookmarkStart w:id="67" w:name="_Toc217446038"/>
      <w:bookmarkStart w:id="68" w:name="_Toc77400779"/>
      <w:bookmarkStart w:id="69" w:name="_Toc183582209"/>
      <w:r>
        <w:rPr>
          <w:rFonts w:hint="eastAsia" w:ascii="仿宋" w:hAnsi="仿宋" w:eastAsia="仿宋"/>
          <w:bCs w:val="0"/>
          <w:color w:val="000000" w:themeColor="text1"/>
        </w:rPr>
        <w:t>二、招标文件</w:t>
      </w:r>
      <w:bookmarkEnd w:id="65"/>
      <w:bookmarkEnd w:id="66"/>
      <w:bookmarkEnd w:id="67"/>
      <w:bookmarkEnd w:id="68"/>
      <w:bookmarkEnd w:id="69"/>
    </w:p>
    <w:p>
      <w:pPr>
        <w:pStyle w:val="4"/>
        <w:spacing w:line="400" w:lineRule="exact"/>
        <w:ind w:firstLine="482" w:firstLineChars="200"/>
        <w:rPr>
          <w:rFonts w:ascii="仿宋" w:hAnsi="仿宋" w:eastAsia="仿宋"/>
          <w:color w:val="000000" w:themeColor="text1"/>
          <w:sz w:val="24"/>
        </w:rPr>
      </w:pPr>
      <w:bookmarkStart w:id="70" w:name="_Toc217446039"/>
      <w:bookmarkStart w:id="71" w:name="_Toc183582210"/>
      <w:bookmarkStart w:id="72" w:name="_Toc183682347"/>
      <w:r>
        <w:rPr>
          <w:rFonts w:hint="eastAsia" w:ascii="仿宋" w:hAnsi="仿宋" w:eastAsia="仿宋"/>
          <w:color w:val="000000" w:themeColor="text1"/>
          <w:sz w:val="24"/>
        </w:rPr>
        <w:t>5．招标文件的构成</w:t>
      </w:r>
      <w:bookmarkEnd w:id="70"/>
      <w:bookmarkEnd w:id="71"/>
      <w:bookmarkEnd w:id="72"/>
    </w:p>
    <w:p>
      <w:pPr>
        <w:tabs>
          <w:tab w:val="left" w:pos="7665"/>
        </w:tabs>
        <w:spacing w:line="400" w:lineRule="exact"/>
        <w:rPr>
          <w:rFonts w:ascii="仿宋" w:hAnsi="仿宋" w:eastAsia="仿宋"/>
          <w:color w:val="000000" w:themeColor="text1"/>
          <w:sz w:val="24"/>
        </w:rPr>
      </w:pPr>
      <w:r>
        <w:rPr>
          <w:rFonts w:hint="eastAsia" w:ascii="仿宋" w:hAnsi="仿宋" w:eastAsia="仿宋"/>
          <w:color w:val="000000" w:themeColor="text1"/>
          <w:sz w:val="24"/>
        </w:rPr>
        <w:t xml:space="preserve">    5</w:t>
      </w:r>
      <w:r>
        <w:rPr>
          <w:rFonts w:ascii="仿宋" w:hAnsi="仿宋" w:eastAsia="仿宋"/>
          <w:b/>
          <w:bCs/>
          <w:color w:val="000000" w:themeColor="text1"/>
          <w:sz w:val="24"/>
        </w:rPr>
        <w:t>.</w:t>
      </w:r>
      <w:r>
        <w:rPr>
          <w:rFonts w:hint="eastAsia" w:ascii="仿宋" w:hAnsi="仿宋" w:eastAsia="仿宋"/>
          <w:color w:val="000000" w:themeColor="text1"/>
          <w:sz w:val="24"/>
        </w:rPr>
        <w:t>1 招标文件用以阐明招标项目所需的资质、技术、服务及报价等要求、招标投标程序、有关规定和注意事项以及合同主要条款等。本招标文件包括以下内容：</w:t>
      </w:r>
    </w:p>
    <w:p>
      <w:pPr>
        <w:tabs>
          <w:tab w:val="left" w:pos="7665"/>
        </w:tabs>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（1）投标邀请；  </w:t>
      </w:r>
    </w:p>
    <w:p>
      <w:pPr>
        <w:tabs>
          <w:tab w:val="left" w:pos="7665"/>
        </w:tabs>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（2）投标人须知及前附表；</w:t>
      </w:r>
    </w:p>
    <w:p>
      <w:pPr>
        <w:tabs>
          <w:tab w:val="left" w:pos="7665"/>
        </w:tabs>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（3）投标文件格式要求；</w:t>
      </w:r>
    </w:p>
    <w:p>
      <w:pPr>
        <w:tabs>
          <w:tab w:val="left" w:pos="7665"/>
        </w:tabs>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（4）投标人有关资格证明文件要求；</w:t>
      </w:r>
    </w:p>
    <w:p>
      <w:pPr>
        <w:tabs>
          <w:tab w:val="left" w:pos="7665"/>
        </w:tabs>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（5）招标项目及要求；</w:t>
      </w:r>
    </w:p>
    <w:p>
      <w:pPr>
        <w:tabs>
          <w:tab w:val="left" w:pos="7665"/>
        </w:tabs>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（6）评标办法；</w:t>
      </w:r>
    </w:p>
    <w:p>
      <w:pPr>
        <w:tabs>
          <w:tab w:val="left" w:pos="7665"/>
        </w:tabs>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（7）合同主要条款。</w:t>
      </w:r>
    </w:p>
    <w:p>
      <w:pPr>
        <w:tabs>
          <w:tab w:val="left" w:pos="7665"/>
        </w:tabs>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5</w:t>
      </w:r>
      <w:r>
        <w:rPr>
          <w:rFonts w:hint="eastAsia" w:ascii="仿宋" w:hAnsi="仿宋" w:eastAsia="仿宋"/>
          <w:b/>
          <w:bCs/>
          <w:color w:val="000000" w:themeColor="text1"/>
          <w:sz w:val="24"/>
        </w:rPr>
        <w:t>.</w:t>
      </w:r>
      <w:r>
        <w:rPr>
          <w:rFonts w:hint="eastAsia" w:ascii="仿宋" w:hAnsi="仿宋" w:eastAsia="仿宋"/>
          <w:color w:val="000000" w:themeColor="text1"/>
          <w:sz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
        <w:spacing w:line="400" w:lineRule="exact"/>
        <w:ind w:firstLine="482" w:firstLineChars="200"/>
        <w:rPr>
          <w:rFonts w:ascii="仿宋" w:hAnsi="仿宋" w:eastAsia="仿宋"/>
          <w:color w:val="000000" w:themeColor="text1"/>
          <w:sz w:val="24"/>
        </w:rPr>
      </w:pPr>
      <w:bookmarkStart w:id="73" w:name="_Toc183682348"/>
      <w:bookmarkStart w:id="74" w:name="_Toc183582211"/>
      <w:bookmarkStart w:id="75" w:name="_Toc217446040"/>
      <w:r>
        <w:rPr>
          <w:rFonts w:hint="eastAsia" w:ascii="仿宋" w:hAnsi="仿宋" w:eastAsia="仿宋"/>
          <w:color w:val="000000" w:themeColor="text1"/>
          <w:sz w:val="24"/>
        </w:rPr>
        <w:t>6. 招标文件的澄清</w:t>
      </w:r>
      <w:bookmarkEnd w:id="73"/>
      <w:bookmarkEnd w:id="74"/>
      <w:r>
        <w:rPr>
          <w:rFonts w:hint="eastAsia" w:ascii="仿宋" w:hAnsi="仿宋" w:eastAsia="仿宋"/>
          <w:color w:val="000000" w:themeColor="text1"/>
          <w:sz w:val="24"/>
        </w:rPr>
        <w:t>和修改</w:t>
      </w:r>
      <w:bookmarkEnd w:id="75"/>
    </w:p>
    <w:p>
      <w:pPr>
        <w:tabs>
          <w:tab w:val="left" w:pos="720"/>
        </w:tabs>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.1</w:t>
      </w:r>
      <w:r>
        <w:rPr>
          <w:rFonts w:hint="eastAsia" w:ascii="仿宋" w:hAnsi="仿宋" w:eastAsia="仿宋"/>
          <w:color w:val="000000" w:themeColor="text1"/>
          <w:sz w:val="24"/>
        </w:rPr>
        <w:t xml:space="preserve"> 在投标截止时间前，招标采购单位无论出于何种原因，可以对招标文件进行澄清或者修改。</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.2</w:t>
      </w:r>
      <w:r>
        <w:rPr>
          <w:rFonts w:hint="eastAsia" w:ascii="仿宋" w:hAnsi="仿宋" w:eastAsia="仿宋"/>
          <w:color w:val="000000" w:themeColor="text1"/>
          <w:sz w:val="24"/>
        </w:rPr>
        <w:t xml:space="preserve"> 招标采购单位对已发出的招标文件进行澄清或者修改，将在招标文件要求的提交投标文件截止时间十日前进行在重庆交通职业学院官网上发布公告，并以书面形式将澄清或者修改的内容通知所有下载了招标文件的供应商。该澄清或者修改的内容为招标文件的组成部分。</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6.3 在投标截止时间前，招标采购单位可以视采购具体情况，延长投标截止时间和开标时间，并将变更时间以书面形式通知所有下载了招标文件的供应商。</w:t>
      </w:r>
    </w:p>
    <w:p>
      <w:pPr>
        <w:pStyle w:val="4"/>
        <w:spacing w:line="400" w:lineRule="exact"/>
        <w:ind w:firstLine="482" w:firstLineChars="200"/>
        <w:rPr>
          <w:rFonts w:ascii="仿宋" w:hAnsi="仿宋" w:eastAsia="仿宋"/>
          <w:color w:val="000000" w:themeColor="text1"/>
          <w:sz w:val="24"/>
        </w:rPr>
      </w:pPr>
      <w:bookmarkStart w:id="76" w:name="_Toc183682350"/>
      <w:bookmarkStart w:id="77" w:name="_Toc183582213"/>
      <w:bookmarkStart w:id="78" w:name="_Toc217446041"/>
      <w:bookmarkStart w:id="79" w:name="_Toc208848971"/>
      <w:r>
        <w:rPr>
          <w:rFonts w:hint="eastAsia" w:ascii="仿宋" w:hAnsi="仿宋" w:eastAsia="仿宋"/>
          <w:color w:val="000000" w:themeColor="text1"/>
          <w:sz w:val="24"/>
        </w:rPr>
        <w:t>7</w:t>
      </w:r>
      <w:bookmarkEnd w:id="76"/>
      <w:bookmarkEnd w:id="77"/>
      <w:r>
        <w:rPr>
          <w:rFonts w:hint="eastAsia" w:ascii="仿宋" w:hAnsi="仿宋" w:eastAsia="仿宋"/>
          <w:color w:val="000000" w:themeColor="text1"/>
          <w:sz w:val="24"/>
        </w:rPr>
        <w:t>. 答疑会和现场考察</w:t>
      </w:r>
      <w:bookmarkEnd w:id="78"/>
      <w:bookmarkEnd w:id="79"/>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7.1 根据采购项目和具体情况，招标采购单位认为有必要，可以组织召开标前答疑会或组织投标人对项目现场进行考察。答疑会或进行现场考察的时间，招标采购单位将以书面形式通知所有购买了招标文件的供应商。</w:t>
      </w:r>
    </w:p>
    <w:p>
      <w:pPr>
        <w:adjustRightInd w:val="0"/>
        <w:snapToGrid w:val="0"/>
        <w:spacing w:line="400" w:lineRule="exact"/>
        <w:ind w:firstLine="420" w:firstLineChars="175"/>
        <w:rPr>
          <w:rFonts w:ascii="仿宋" w:hAnsi="仿宋" w:eastAsia="仿宋"/>
          <w:color w:val="000000" w:themeColor="text1"/>
          <w:sz w:val="24"/>
        </w:rPr>
      </w:pPr>
      <w:r>
        <w:rPr>
          <w:rFonts w:hint="eastAsia" w:ascii="仿宋" w:hAnsi="仿宋" w:eastAsia="仿宋"/>
          <w:color w:val="000000" w:themeColor="text1"/>
          <w:sz w:val="24"/>
        </w:rPr>
        <w:t>7</w:t>
      </w:r>
      <w:r>
        <w:rPr>
          <w:rFonts w:ascii="仿宋" w:hAnsi="仿宋" w:eastAsia="仿宋"/>
          <w:color w:val="000000" w:themeColor="text1"/>
          <w:sz w:val="24"/>
        </w:rPr>
        <w:t>.</w:t>
      </w:r>
      <w:r>
        <w:rPr>
          <w:rFonts w:hint="eastAsia" w:ascii="仿宋" w:hAnsi="仿宋" w:eastAsia="仿宋"/>
          <w:color w:val="000000" w:themeColor="text1"/>
          <w:sz w:val="24"/>
        </w:rPr>
        <w:t>2 供应商考察现场所发生的一切费用由供应商自己承担。</w:t>
      </w:r>
    </w:p>
    <w:p>
      <w:pPr>
        <w:pStyle w:val="3"/>
        <w:spacing w:line="400" w:lineRule="exact"/>
        <w:jc w:val="center"/>
        <w:rPr>
          <w:rFonts w:ascii="仿宋" w:hAnsi="仿宋" w:eastAsia="仿宋"/>
          <w:bCs w:val="0"/>
          <w:color w:val="000000" w:themeColor="text1"/>
        </w:rPr>
      </w:pPr>
      <w:bookmarkStart w:id="80" w:name="_Toc183582214"/>
      <w:bookmarkStart w:id="81" w:name="_Toc89075876"/>
      <w:bookmarkStart w:id="82" w:name="_Toc77400780"/>
      <w:bookmarkStart w:id="83" w:name="_Toc183682351"/>
      <w:bookmarkStart w:id="84" w:name="_Toc217446042"/>
      <w:r>
        <w:rPr>
          <w:rFonts w:hint="eastAsia" w:ascii="仿宋" w:hAnsi="仿宋" w:eastAsia="仿宋"/>
          <w:bCs w:val="0"/>
          <w:color w:val="000000" w:themeColor="text1"/>
        </w:rPr>
        <w:t>三、投标文件</w:t>
      </w:r>
      <w:bookmarkEnd w:id="80"/>
      <w:bookmarkEnd w:id="81"/>
      <w:bookmarkEnd w:id="82"/>
      <w:bookmarkEnd w:id="83"/>
      <w:bookmarkEnd w:id="84"/>
    </w:p>
    <w:p>
      <w:pPr>
        <w:pStyle w:val="4"/>
        <w:spacing w:line="400" w:lineRule="exact"/>
        <w:ind w:firstLine="482" w:firstLineChars="200"/>
        <w:rPr>
          <w:rFonts w:ascii="仿宋" w:hAnsi="仿宋" w:eastAsia="仿宋"/>
          <w:bCs/>
          <w:color w:val="000000" w:themeColor="text1"/>
          <w:sz w:val="24"/>
        </w:rPr>
      </w:pPr>
      <w:bookmarkStart w:id="85" w:name="_Toc183582215"/>
      <w:bookmarkStart w:id="86" w:name="_Toc217446043"/>
      <w:bookmarkStart w:id="87" w:name="_Toc183682352"/>
      <w:r>
        <w:rPr>
          <w:rFonts w:hint="eastAsia" w:ascii="仿宋" w:hAnsi="仿宋" w:eastAsia="仿宋"/>
          <w:bCs/>
          <w:color w:val="000000" w:themeColor="text1"/>
          <w:sz w:val="24"/>
        </w:rPr>
        <w:t>8．投标文件的语言</w:t>
      </w:r>
      <w:bookmarkEnd w:id="85"/>
      <w:bookmarkEnd w:id="86"/>
      <w:bookmarkEnd w:id="87"/>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8.1 投标人提交的投标文件以及投标人与招标采购单位就有关投标的所有来往书面文件均须使用中文。投标文件中如附有外文资料，主要部分对应翻译成中文并加盖投标人公章后附在相关外文资料后面。</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8.2 翻译的中文资料与外文资料如果出现差异和矛盾时，以中文为准。但不能故意错误翻译，否则，投标人的投标文件将作为无效投标处理。</w:t>
      </w:r>
    </w:p>
    <w:p>
      <w:pPr>
        <w:pStyle w:val="4"/>
        <w:spacing w:line="400" w:lineRule="exact"/>
        <w:ind w:firstLine="482" w:firstLineChars="200"/>
        <w:rPr>
          <w:rFonts w:ascii="仿宋" w:hAnsi="仿宋" w:eastAsia="仿宋"/>
          <w:color w:val="000000" w:themeColor="text1"/>
          <w:sz w:val="24"/>
        </w:rPr>
      </w:pPr>
      <w:bookmarkStart w:id="88" w:name="_Toc183682353"/>
      <w:bookmarkStart w:id="89" w:name="_Toc217446044"/>
      <w:bookmarkStart w:id="90" w:name="_Toc183582216"/>
      <w:r>
        <w:rPr>
          <w:rFonts w:hint="eastAsia" w:ascii="仿宋" w:hAnsi="仿宋" w:eastAsia="仿宋"/>
          <w:color w:val="000000" w:themeColor="text1"/>
          <w:sz w:val="24"/>
        </w:rPr>
        <w:t>9．计量单位</w:t>
      </w:r>
      <w:bookmarkEnd w:id="88"/>
      <w:bookmarkEnd w:id="89"/>
      <w:bookmarkEnd w:id="90"/>
    </w:p>
    <w:p>
      <w:pPr>
        <w:spacing w:line="400" w:lineRule="exact"/>
        <w:ind w:firstLine="470" w:firstLineChars="196"/>
        <w:rPr>
          <w:rFonts w:ascii="仿宋" w:hAnsi="仿宋" w:eastAsia="仿宋"/>
          <w:color w:val="000000" w:themeColor="text1"/>
          <w:sz w:val="24"/>
        </w:rPr>
      </w:pPr>
      <w:r>
        <w:rPr>
          <w:rFonts w:hint="eastAsia" w:ascii="仿宋" w:hAnsi="仿宋" w:eastAsia="仿宋"/>
          <w:color w:val="000000" w:themeColor="text1"/>
          <w:sz w:val="24"/>
        </w:rPr>
        <w:t>除技术规格及要求中另有规定外，本采购项下的投标均采用国家法定的计量单位。</w:t>
      </w:r>
    </w:p>
    <w:p>
      <w:pPr>
        <w:pStyle w:val="4"/>
        <w:spacing w:line="400" w:lineRule="exact"/>
        <w:rPr>
          <w:rFonts w:ascii="仿宋" w:hAnsi="仿宋" w:eastAsia="仿宋"/>
          <w:color w:val="000000" w:themeColor="text1"/>
          <w:sz w:val="24"/>
          <w:szCs w:val="24"/>
        </w:rPr>
      </w:pPr>
      <w:bookmarkStart w:id="91" w:name="_Toc217446045"/>
      <w:r>
        <w:rPr>
          <w:rFonts w:hint="eastAsia" w:ascii="仿宋" w:hAnsi="仿宋" w:eastAsia="仿宋"/>
          <w:color w:val="000000" w:themeColor="text1"/>
          <w:sz w:val="24"/>
          <w:szCs w:val="24"/>
        </w:rPr>
        <w:t>10. 投标货币</w:t>
      </w:r>
      <w:bookmarkEnd w:id="91"/>
    </w:p>
    <w:p>
      <w:pPr>
        <w:tabs>
          <w:tab w:val="left" w:pos="7665"/>
        </w:tabs>
        <w:spacing w:line="400" w:lineRule="exact"/>
        <w:ind w:left="13" w:hanging="118"/>
        <w:rPr>
          <w:rFonts w:ascii="仿宋" w:hAnsi="仿宋" w:eastAsia="仿宋"/>
          <w:color w:val="000000" w:themeColor="text1"/>
          <w:sz w:val="24"/>
        </w:rPr>
      </w:pPr>
      <w:r>
        <w:rPr>
          <w:rFonts w:hint="eastAsia" w:ascii="仿宋" w:hAnsi="仿宋" w:eastAsia="仿宋"/>
          <w:color w:val="000000" w:themeColor="text1"/>
          <w:sz w:val="24"/>
        </w:rPr>
        <w:t xml:space="preserve"> 本次招标项目的投标均以人民币报价。</w:t>
      </w:r>
    </w:p>
    <w:p>
      <w:pPr>
        <w:pStyle w:val="4"/>
        <w:spacing w:line="400" w:lineRule="exact"/>
        <w:ind w:firstLine="241" w:firstLineChars="100"/>
        <w:rPr>
          <w:rFonts w:ascii="仿宋" w:hAnsi="仿宋" w:eastAsia="仿宋"/>
          <w:color w:val="000000" w:themeColor="text1"/>
          <w:sz w:val="24"/>
          <w:szCs w:val="24"/>
        </w:rPr>
      </w:pPr>
      <w:bookmarkStart w:id="92" w:name="_Toc217446046"/>
      <w:r>
        <w:rPr>
          <w:rFonts w:hint="eastAsia" w:ascii="仿宋" w:hAnsi="仿宋" w:eastAsia="仿宋"/>
          <w:color w:val="000000" w:themeColor="text1"/>
          <w:sz w:val="24"/>
          <w:szCs w:val="24"/>
        </w:rPr>
        <w:t xml:space="preserve"> 11. 联合体投标</w:t>
      </w:r>
      <w:bookmarkEnd w:id="92"/>
      <w:r>
        <w:rPr>
          <w:rFonts w:hint="eastAsia" w:ascii="仿宋" w:hAnsi="仿宋" w:eastAsia="仿宋"/>
          <w:color w:val="000000" w:themeColor="text1"/>
          <w:sz w:val="24"/>
          <w:szCs w:val="24"/>
        </w:rPr>
        <w:t>（本项目不适用）</w:t>
      </w:r>
    </w:p>
    <w:p>
      <w:pPr>
        <w:pStyle w:val="4"/>
        <w:spacing w:line="400" w:lineRule="exact"/>
        <w:ind w:firstLine="482" w:firstLineChars="200"/>
        <w:rPr>
          <w:rFonts w:ascii="仿宋" w:hAnsi="仿宋" w:eastAsia="仿宋"/>
          <w:bCs/>
          <w:color w:val="000000" w:themeColor="text1"/>
          <w:sz w:val="24"/>
          <w:szCs w:val="24"/>
        </w:rPr>
      </w:pPr>
      <w:bookmarkStart w:id="93" w:name="_Toc217446047"/>
      <w:r>
        <w:rPr>
          <w:rFonts w:ascii="仿宋" w:hAnsi="仿宋" w:eastAsia="仿宋"/>
          <w:bCs/>
          <w:color w:val="000000" w:themeColor="text1"/>
          <w:sz w:val="24"/>
          <w:szCs w:val="24"/>
        </w:rPr>
        <w:t>1</w:t>
      </w:r>
      <w:r>
        <w:rPr>
          <w:rFonts w:hint="eastAsia" w:ascii="仿宋" w:hAnsi="仿宋" w:eastAsia="仿宋"/>
          <w:bCs/>
          <w:color w:val="000000" w:themeColor="text1"/>
          <w:sz w:val="24"/>
          <w:szCs w:val="24"/>
        </w:rPr>
        <w:t>2</w:t>
      </w:r>
      <w:r>
        <w:rPr>
          <w:rFonts w:ascii="仿宋" w:hAnsi="仿宋" w:eastAsia="仿宋"/>
          <w:bCs/>
          <w:color w:val="000000" w:themeColor="text1"/>
          <w:sz w:val="24"/>
          <w:szCs w:val="24"/>
        </w:rPr>
        <w:t>.</w:t>
      </w:r>
      <w:r>
        <w:rPr>
          <w:rFonts w:hint="eastAsia" w:ascii="仿宋" w:hAnsi="仿宋" w:eastAsia="仿宋"/>
          <w:bCs/>
          <w:color w:val="000000" w:themeColor="text1"/>
          <w:sz w:val="24"/>
          <w:szCs w:val="24"/>
        </w:rPr>
        <w:t xml:space="preserve"> 知识产权</w:t>
      </w:r>
      <w:bookmarkEnd w:id="93"/>
    </w:p>
    <w:p>
      <w:pPr>
        <w:pStyle w:val="16"/>
        <w:spacing w:line="400" w:lineRule="exact"/>
        <w:ind w:firstLine="480" w:firstLineChars="200"/>
        <w:rPr>
          <w:rFonts w:ascii="仿宋" w:hAnsi="仿宋" w:eastAsia="仿宋"/>
          <w:color w:val="000000" w:themeColor="text1"/>
          <w:sz w:val="24"/>
          <w:szCs w:val="24"/>
        </w:rPr>
      </w:pPr>
      <w:r>
        <w:rPr>
          <w:rFonts w:ascii="仿宋" w:hAnsi="仿宋" w:eastAsia="仿宋"/>
          <w:color w:val="000000" w:themeColor="text1"/>
          <w:sz w:val="24"/>
          <w:szCs w:val="24"/>
        </w:rPr>
        <w:t>1</w:t>
      </w:r>
      <w:r>
        <w:rPr>
          <w:rFonts w:hint="eastAsia" w:ascii="仿宋" w:hAnsi="仿宋" w:eastAsia="仿宋"/>
          <w:color w:val="000000" w:themeColor="text1"/>
          <w:sz w:val="24"/>
          <w:szCs w:val="24"/>
        </w:rPr>
        <w:t>2</w:t>
      </w:r>
      <w:r>
        <w:rPr>
          <w:rFonts w:ascii="仿宋" w:hAnsi="仿宋" w:eastAsia="仿宋"/>
          <w:color w:val="000000" w:themeColor="text1"/>
          <w:sz w:val="24"/>
          <w:szCs w:val="24"/>
        </w:rPr>
        <w:t>.1</w:t>
      </w:r>
      <w:r>
        <w:rPr>
          <w:rFonts w:hint="eastAsia" w:ascii="仿宋" w:hAnsi="仿宋" w:eastAsia="仿宋"/>
          <w:color w:val="000000" w:themeColor="text1"/>
          <w:sz w:val="24"/>
          <w:szCs w:val="24"/>
        </w:rPr>
        <w:t xml:space="preserve">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6"/>
        <w:spacing w:line="400" w:lineRule="exact"/>
        <w:ind w:firstLine="480" w:firstLineChars="200"/>
        <w:rPr>
          <w:rFonts w:ascii="仿宋" w:hAnsi="仿宋" w:eastAsia="仿宋"/>
          <w:color w:val="000000" w:themeColor="text1"/>
          <w:sz w:val="24"/>
          <w:szCs w:val="24"/>
        </w:rPr>
      </w:pPr>
      <w:r>
        <w:rPr>
          <w:rFonts w:ascii="仿宋" w:hAnsi="仿宋" w:eastAsia="仿宋"/>
          <w:color w:val="000000" w:themeColor="text1"/>
          <w:sz w:val="24"/>
          <w:szCs w:val="24"/>
        </w:rPr>
        <w:t>1</w:t>
      </w:r>
      <w:r>
        <w:rPr>
          <w:rFonts w:hint="eastAsia" w:ascii="仿宋" w:hAnsi="仿宋" w:eastAsia="仿宋"/>
          <w:color w:val="000000" w:themeColor="text1"/>
          <w:sz w:val="24"/>
          <w:szCs w:val="24"/>
        </w:rPr>
        <w:t>2</w:t>
      </w:r>
      <w:r>
        <w:rPr>
          <w:rFonts w:ascii="仿宋" w:hAnsi="仿宋" w:eastAsia="仿宋"/>
          <w:color w:val="000000" w:themeColor="text1"/>
          <w:sz w:val="24"/>
          <w:szCs w:val="24"/>
        </w:rPr>
        <w:t>.2</w:t>
      </w:r>
      <w:r>
        <w:rPr>
          <w:rFonts w:hint="eastAsia" w:ascii="仿宋" w:hAnsi="仿宋" w:eastAsia="仿宋"/>
          <w:color w:val="000000" w:themeColor="text1"/>
          <w:sz w:val="24"/>
          <w:szCs w:val="24"/>
        </w:rPr>
        <w:t xml:space="preserve"> 招标人享有本项目实施过程中产生的知识成果及知识产权。</w:t>
      </w:r>
    </w:p>
    <w:p>
      <w:pPr>
        <w:spacing w:line="400" w:lineRule="exact"/>
        <w:ind w:firstLine="480" w:firstLineChars="200"/>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2</w:t>
      </w:r>
      <w:r>
        <w:rPr>
          <w:rFonts w:ascii="仿宋" w:hAnsi="仿宋" w:eastAsia="仿宋"/>
          <w:color w:val="000000" w:themeColor="text1"/>
          <w:sz w:val="24"/>
        </w:rPr>
        <w:t>.3</w:t>
      </w:r>
      <w:r>
        <w:rPr>
          <w:rFonts w:hint="eastAsia" w:ascii="仿宋" w:hAnsi="仿宋" w:eastAsia="仿宋"/>
          <w:color w:val="000000" w:themeColor="text1"/>
          <w:sz w:val="24"/>
        </w:rPr>
        <w:t xml:space="preserve"> 投标人如欲在项目实施过程中采用自有知识成果，需在投标文件中声明，并提供相关知识产权证明文件。使用该知识成果后，投标人需提供开发接口和开发手册等技术文档，并承诺提供无限期技术支持，招标人享有永久使用权。</w:t>
      </w:r>
    </w:p>
    <w:p>
      <w:pPr>
        <w:spacing w:line="400" w:lineRule="exact"/>
        <w:ind w:firstLine="460" w:firstLineChars="192"/>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2</w:t>
      </w:r>
      <w:r>
        <w:rPr>
          <w:rFonts w:ascii="仿宋" w:hAnsi="仿宋" w:eastAsia="仿宋"/>
          <w:color w:val="000000" w:themeColor="text1"/>
          <w:sz w:val="24"/>
        </w:rPr>
        <w:t>.4</w:t>
      </w:r>
      <w:r>
        <w:rPr>
          <w:rFonts w:hint="eastAsia" w:ascii="仿宋" w:hAnsi="仿宋" w:eastAsia="仿宋"/>
          <w:color w:val="000000" w:themeColor="text1"/>
          <w:sz w:val="24"/>
        </w:rPr>
        <w:t xml:space="preserve"> 如采用投标人所不拥有的知识产权，则在投标报价中必须包括合法获取该知识产权的相关费用。 </w:t>
      </w:r>
    </w:p>
    <w:p>
      <w:pPr>
        <w:pStyle w:val="4"/>
        <w:spacing w:line="400" w:lineRule="exact"/>
        <w:ind w:firstLine="482" w:firstLineChars="200"/>
        <w:rPr>
          <w:rFonts w:ascii="仿宋" w:hAnsi="仿宋" w:eastAsia="仿宋"/>
          <w:color w:val="000000" w:themeColor="text1"/>
          <w:sz w:val="24"/>
        </w:rPr>
      </w:pPr>
      <w:bookmarkStart w:id="94" w:name="_Toc183582217"/>
      <w:bookmarkStart w:id="95" w:name="_Toc183682354"/>
      <w:bookmarkStart w:id="96" w:name="_Toc217446048"/>
      <w:r>
        <w:rPr>
          <w:rFonts w:hint="eastAsia" w:ascii="仿宋" w:hAnsi="仿宋" w:eastAsia="仿宋"/>
          <w:color w:val="000000" w:themeColor="text1"/>
          <w:sz w:val="24"/>
        </w:rPr>
        <w:t>13．投标文件的组成</w:t>
      </w:r>
      <w:bookmarkEnd w:id="94"/>
      <w:bookmarkEnd w:id="95"/>
      <w:bookmarkEnd w:id="96"/>
    </w:p>
    <w:p>
      <w:pPr>
        <w:spacing w:line="400" w:lineRule="exact"/>
        <w:ind w:firstLine="470" w:firstLineChars="196"/>
        <w:rPr>
          <w:rFonts w:ascii="仿宋" w:hAnsi="仿宋" w:eastAsia="仿宋"/>
          <w:color w:val="000000" w:themeColor="text1"/>
          <w:sz w:val="24"/>
        </w:rPr>
      </w:pPr>
      <w:r>
        <w:rPr>
          <w:rFonts w:hint="eastAsia" w:ascii="仿宋" w:hAnsi="仿宋" w:eastAsia="仿宋"/>
          <w:color w:val="000000" w:themeColor="text1"/>
          <w:sz w:val="24"/>
        </w:rPr>
        <w:t>投标人应按照招标文件的规定和要求编制投标文件。投标人拟在中标后将中标项目的非主体、非关键性工作交由他人完成的，应当在投标文件中载明。投标人编写的投标文件应包括下列部分：</w:t>
      </w:r>
    </w:p>
    <w:p>
      <w:pPr>
        <w:spacing w:line="400" w:lineRule="exact"/>
        <w:ind w:firstLine="472" w:firstLineChars="196"/>
        <w:rPr>
          <w:rFonts w:ascii="仿宋" w:hAnsi="仿宋" w:eastAsia="仿宋"/>
          <w:color w:val="000000" w:themeColor="text1"/>
          <w:sz w:val="24"/>
        </w:rPr>
      </w:pPr>
      <w:r>
        <w:rPr>
          <w:rFonts w:hint="eastAsia" w:ascii="仿宋" w:hAnsi="仿宋" w:eastAsia="仿宋"/>
          <w:b/>
          <w:color w:val="000000" w:themeColor="text1"/>
          <w:sz w:val="24"/>
        </w:rPr>
        <w:t>13.1 报价部分。</w:t>
      </w:r>
      <w:r>
        <w:rPr>
          <w:rFonts w:hint="eastAsia" w:ascii="仿宋" w:hAnsi="仿宋" w:eastAsia="仿宋"/>
          <w:bCs/>
          <w:color w:val="000000" w:themeColor="text1"/>
          <w:sz w:val="24"/>
        </w:rPr>
        <w:t>投标人</w:t>
      </w:r>
      <w:r>
        <w:rPr>
          <w:rFonts w:hint="eastAsia" w:ascii="仿宋" w:hAnsi="仿宋" w:eastAsia="仿宋"/>
          <w:color w:val="000000" w:themeColor="text1"/>
          <w:sz w:val="24"/>
        </w:rPr>
        <w:t>按照招标文件要求填写的“开标一览表”及“报价明细表”。 本次招标报价要求：</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（1）投标人的报价是投标人响应招标项目要求的全部工作内容的价格体现，包括投标人完成本项目所需的一切费用。</w:t>
      </w:r>
    </w:p>
    <w:p>
      <w:pPr>
        <w:spacing w:line="400" w:lineRule="exact"/>
        <w:ind w:left="2" w:firstLine="352" w:firstLineChars="147"/>
        <w:rPr>
          <w:rFonts w:ascii="仿宋" w:hAnsi="仿宋" w:eastAsia="仿宋"/>
          <w:color w:val="000000" w:themeColor="text1"/>
          <w:sz w:val="24"/>
        </w:rPr>
      </w:pPr>
      <w:r>
        <w:rPr>
          <w:rFonts w:hint="eastAsia" w:ascii="仿宋" w:hAnsi="仿宋" w:eastAsia="仿宋"/>
          <w:color w:val="000000" w:themeColor="text1"/>
          <w:sz w:val="24"/>
        </w:rPr>
        <w:t xml:space="preserve"> （2）投标人每种货物只允许有一个报价，并且在合同履行过程中是固定不变的，任何有选择或可调整的报价将不予接受，并按无效投标处理。</w:t>
      </w:r>
    </w:p>
    <w:p>
      <w:pPr>
        <w:tabs>
          <w:tab w:val="left" w:pos="540"/>
        </w:tabs>
        <w:spacing w:line="400" w:lineRule="exact"/>
        <w:ind w:firstLine="472" w:firstLineChars="196"/>
        <w:rPr>
          <w:rFonts w:ascii="仿宋" w:hAnsi="仿宋" w:eastAsia="仿宋"/>
          <w:color w:val="000000" w:themeColor="text1"/>
          <w:sz w:val="24"/>
        </w:rPr>
      </w:pPr>
      <w:r>
        <w:rPr>
          <w:rFonts w:hint="eastAsia" w:ascii="仿宋" w:hAnsi="仿宋" w:eastAsia="仿宋"/>
          <w:b/>
          <w:bCs/>
          <w:color w:val="000000" w:themeColor="text1"/>
          <w:sz w:val="24"/>
        </w:rPr>
        <w:t>13.2 技术部分。</w:t>
      </w:r>
      <w:r>
        <w:rPr>
          <w:rFonts w:hint="eastAsia" w:ascii="仿宋" w:hAnsi="仿宋" w:eastAsia="仿宋"/>
          <w:bCs/>
          <w:color w:val="000000" w:themeColor="text1"/>
          <w:sz w:val="24"/>
        </w:rPr>
        <w:t>投标人</w:t>
      </w:r>
      <w:r>
        <w:rPr>
          <w:rFonts w:hint="eastAsia" w:ascii="仿宋" w:hAnsi="仿宋" w:eastAsia="仿宋"/>
          <w:color w:val="000000" w:themeColor="text1"/>
          <w:sz w:val="24"/>
        </w:rPr>
        <w:t>按照招标文件要求做出的技术应答，主要是针对招标项目的技术指标、参数和技术要求做出的实质性响应和满足。投标人的技术应答应包括下列内容：</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（1）投标产品的品牌、型号、配置；</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（2）产品验收清单（注明各部件的品名、数量、价格、规格型号和原产地或生产厂家）。</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（3）投标人认为需要提供的文件和资料。</w:t>
      </w:r>
    </w:p>
    <w:p>
      <w:pPr>
        <w:spacing w:line="400" w:lineRule="exact"/>
        <w:ind w:firstLine="241" w:firstLineChars="100"/>
        <w:rPr>
          <w:rFonts w:ascii="仿宋" w:hAnsi="仿宋" w:eastAsia="仿宋"/>
          <w:b/>
          <w:bCs/>
          <w:color w:val="000000" w:themeColor="text1"/>
          <w:sz w:val="24"/>
        </w:rPr>
      </w:pPr>
    </w:p>
    <w:p>
      <w:pPr>
        <w:spacing w:line="400" w:lineRule="exact"/>
        <w:ind w:firstLine="472" w:firstLineChars="196"/>
        <w:rPr>
          <w:rFonts w:ascii="仿宋" w:hAnsi="仿宋" w:eastAsia="仿宋"/>
          <w:color w:val="000000" w:themeColor="text1"/>
          <w:sz w:val="24"/>
        </w:rPr>
      </w:pPr>
      <w:r>
        <w:rPr>
          <w:rFonts w:hint="eastAsia" w:ascii="仿宋" w:hAnsi="仿宋" w:eastAsia="仿宋"/>
          <w:b/>
          <w:bCs/>
          <w:color w:val="000000" w:themeColor="text1"/>
          <w:sz w:val="24"/>
        </w:rPr>
        <w:t>13.3 商务部分。</w:t>
      </w:r>
      <w:r>
        <w:rPr>
          <w:rFonts w:hint="eastAsia" w:ascii="仿宋" w:hAnsi="仿宋" w:eastAsia="仿宋"/>
          <w:bCs/>
          <w:color w:val="000000" w:themeColor="text1"/>
          <w:sz w:val="24"/>
        </w:rPr>
        <w:t>投标人</w:t>
      </w:r>
      <w:r>
        <w:rPr>
          <w:rFonts w:hint="eastAsia" w:ascii="仿宋" w:hAnsi="仿宋" w:eastAsia="仿宋"/>
          <w:color w:val="000000" w:themeColor="text1"/>
          <w:sz w:val="24"/>
        </w:rPr>
        <w:t>按照招标文件要求提供的有关资质证明文件及优惠承诺。包括以下内容：</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（1）投标函；</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（2）投标人企业法人营业执照副本、税务登记证副本复印件；</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（3）投标人组织机构代码证复印件；</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（4）法定代表人授权书原件；（非法定代表人投标））</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（5）授权代表身份证复印件；</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（6）其他投标人认为需要提供的文件和资料。</w:t>
      </w:r>
    </w:p>
    <w:p>
      <w:pPr>
        <w:spacing w:line="400" w:lineRule="exact"/>
        <w:ind w:firstLine="540" w:firstLineChars="225"/>
        <w:rPr>
          <w:rFonts w:ascii="仿宋" w:hAnsi="仿宋" w:eastAsia="仿宋"/>
          <w:color w:val="000000" w:themeColor="text1"/>
          <w:sz w:val="24"/>
        </w:rPr>
      </w:pPr>
    </w:p>
    <w:p>
      <w:pPr>
        <w:spacing w:line="400" w:lineRule="exact"/>
        <w:ind w:left="3" w:leftChars="1" w:firstLine="482" w:firstLineChars="200"/>
        <w:rPr>
          <w:rFonts w:ascii="仿宋" w:hAnsi="仿宋" w:eastAsia="仿宋"/>
          <w:bCs/>
          <w:color w:val="000000" w:themeColor="text1"/>
          <w:sz w:val="24"/>
        </w:rPr>
      </w:pPr>
      <w:r>
        <w:rPr>
          <w:rFonts w:hint="eastAsia" w:ascii="仿宋" w:hAnsi="仿宋" w:eastAsia="仿宋"/>
          <w:b/>
          <w:bCs/>
          <w:color w:val="000000" w:themeColor="text1"/>
          <w:sz w:val="24"/>
        </w:rPr>
        <w:t>13.4 售后服务。</w:t>
      </w:r>
      <w:r>
        <w:rPr>
          <w:rFonts w:hint="eastAsia" w:ascii="仿宋" w:hAnsi="仿宋" w:eastAsia="仿宋"/>
          <w:bCs/>
          <w:color w:val="000000" w:themeColor="text1"/>
          <w:sz w:val="24"/>
        </w:rPr>
        <w:t>投标人按照招标文件中售后服务要求作出的积极响应和承诺。包括以下内容：</w:t>
      </w:r>
    </w:p>
    <w:p>
      <w:pPr>
        <w:spacing w:line="4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（1）说明投标产品的保修时间、保修期内的保修内容与范围、维修响应时间等。分别提供产品制造厂家和投标人的服务承诺和保障措施；</w:t>
      </w:r>
    </w:p>
    <w:p>
      <w:pPr>
        <w:spacing w:line="400" w:lineRule="exact"/>
        <w:ind w:firstLine="480" w:firstLineChars="200"/>
        <w:rPr>
          <w:rFonts w:ascii="仿宋" w:hAnsi="仿宋" w:eastAsia="仿宋"/>
          <w:color w:val="FF0000"/>
          <w:sz w:val="24"/>
        </w:rPr>
      </w:pPr>
      <w:r>
        <w:rPr>
          <w:rFonts w:hint="eastAsia" w:ascii="仿宋" w:hAnsi="仿宋" w:eastAsia="仿宋"/>
          <w:color w:val="000000" w:themeColor="text1"/>
          <w:sz w:val="24"/>
        </w:rPr>
        <w:t>（2）其他有利于用户的服务承诺。</w:t>
      </w:r>
    </w:p>
    <w:bookmarkEnd w:id="61"/>
    <w:p>
      <w:pPr>
        <w:pStyle w:val="4"/>
        <w:tabs>
          <w:tab w:val="left" w:pos="3480"/>
        </w:tabs>
        <w:spacing w:line="400" w:lineRule="exact"/>
        <w:ind w:firstLine="482" w:firstLineChars="200"/>
        <w:rPr>
          <w:rFonts w:ascii="仿宋" w:hAnsi="仿宋" w:eastAsia="仿宋"/>
          <w:sz w:val="24"/>
        </w:rPr>
      </w:pPr>
      <w:bookmarkStart w:id="97" w:name="_Toc183682355"/>
      <w:bookmarkStart w:id="98" w:name="_Toc217446049"/>
      <w:bookmarkStart w:id="99" w:name="_Toc183582218"/>
      <w:bookmarkStart w:id="100" w:name="PO_默认文件内容_20"/>
      <w:r>
        <w:rPr>
          <w:rFonts w:hint="eastAsia" w:ascii="仿宋" w:hAnsi="仿宋" w:eastAsia="仿宋"/>
          <w:sz w:val="24"/>
        </w:rPr>
        <w:t>14．投标文件格式</w:t>
      </w:r>
      <w:bookmarkEnd w:id="97"/>
      <w:bookmarkEnd w:id="98"/>
      <w:bookmarkEnd w:id="99"/>
      <w:r>
        <w:rPr>
          <w:rFonts w:ascii="仿宋" w:hAnsi="仿宋" w:eastAsia="仿宋"/>
          <w:sz w:val="24"/>
        </w:rPr>
        <w:tab/>
      </w:r>
    </w:p>
    <w:p>
      <w:pPr>
        <w:tabs>
          <w:tab w:val="left" w:pos="7665"/>
        </w:tabs>
        <w:spacing w:line="400" w:lineRule="exact"/>
        <w:ind w:left="20" w:leftChars="6" w:firstLine="480" w:firstLineChars="200"/>
        <w:rPr>
          <w:rFonts w:ascii="仿宋" w:hAnsi="仿宋" w:eastAsia="仿宋"/>
          <w:sz w:val="24"/>
        </w:rPr>
      </w:pPr>
      <w:r>
        <w:rPr>
          <w:rFonts w:hint="eastAsia" w:ascii="仿宋" w:hAnsi="仿宋" w:eastAsia="仿宋"/>
          <w:sz w:val="24"/>
        </w:rPr>
        <w:t>14.1 投标人应严格按照招标文件第三章中提供的“投标文件格式”填写相关内容。除明确允许投标人可以自行编写的外，投标人不得以“投标文件格式”规定之外的方式填写相关内容。</w:t>
      </w:r>
    </w:p>
    <w:p>
      <w:pPr>
        <w:tabs>
          <w:tab w:val="left" w:pos="7665"/>
        </w:tabs>
        <w:spacing w:line="400" w:lineRule="exact"/>
        <w:ind w:left="20" w:leftChars="6" w:firstLine="480" w:firstLineChars="200"/>
        <w:rPr>
          <w:rFonts w:ascii="仿宋" w:hAnsi="仿宋" w:eastAsia="仿宋"/>
          <w:sz w:val="24"/>
        </w:rPr>
      </w:pPr>
      <w:r>
        <w:rPr>
          <w:rFonts w:hint="eastAsia" w:ascii="仿宋" w:hAnsi="仿宋" w:eastAsia="仿宋"/>
          <w:sz w:val="24"/>
        </w:rPr>
        <w:t>14.2 对于没有格式要求的投标文件由投标人自行编写。</w:t>
      </w:r>
    </w:p>
    <w:p>
      <w:pPr>
        <w:pStyle w:val="4"/>
        <w:spacing w:line="400" w:lineRule="exact"/>
        <w:ind w:firstLine="482" w:firstLineChars="200"/>
        <w:rPr>
          <w:rFonts w:ascii="仿宋" w:hAnsi="仿宋" w:eastAsia="仿宋"/>
          <w:bCs/>
          <w:sz w:val="24"/>
        </w:rPr>
      </w:pPr>
      <w:bookmarkStart w:id="101" w:name="_Toc183582223"/>
      <w:bookmarkStart w:id="102" w:name="_Toc183682360"/>
      <w:bookmarkStart w:id="103" w:name="_Toc217446050"/>
      <w:r>
        <w:rPr>
          <w:rFonts w:hint="eastAsia" w:ascii="仿宋" w:hAnsi="仿宋" w:eastAsia="仿宋"/>
          <w:bCs/>
          <w:sz w:val="24"/>
        </w:rPr>
        <w:t>15．投标保证金</w:t>
      </w:r>
      <w:bookmarkEnd w:id="101"/>
      <w:bookmarkEnd w:id="102"/>
      <w:bookmarkEnd w:id="103"/>
    </w:p>
    <w:p>
      <w:pPr>
        <w:spacing w:line="400" w:lineRule="exact"/>
        <w:ind w:left="793" w:leftChars="225" w:hanging="28" w:hangingChars="12"/>
        <w:rPr>
          <w:rFonts w:ascii="仿宋" w:hAnsi="仿宋" w:eastAsia="仿宋"/>
          <w:sz w:val="24"/>
        </w:rPr>
      </w:pPr>
      <w:r>
        <w:rPr>
          <w:rFonts w:hint="eastAsia" w:ascii="仿宋" w:hAnsi="仿宋" w:eastAsia="仿宋"/>
          <w:sz w:val="24"/>
        </w:rPr>
        <w:t>本次招标不设立投标保证金。</w:t>
      </w:r>
    </w:p>
    <w:p>
      <w:pPr>
        <w:pStyle w:val="4"/>
        <w:spacing w:line="400" w:lineRule="exact"/>
        <w:ind w:firstLine="482" w:firstLineChars="200"/>
        <w:rPr>
          <w:rFonts w:ascii="仿宋" w:hAnsi="仿宋" w:eastAsia="仿宋"/>
          <w:bCs/>
          <w:sz w:val="24"/>
        </w:rPr>
      </w:pPr>
      <w:bookmarkStart w:id="104" w:name="_Toc183582224"/>
      <w:bookmarkStart w:id="105" w:name="_Toc183682361"/>
      <w:bookmarkStart w:id="106" w:name="_Toc217446051"/>
      <w:r>
        <w:rPr>
          <w:rFonts w:hint="eastAsia" w:ascii="仿宋" w:hAnsi="仿宋" w:eastAsia="仿宋"/>
          <w:bCs/>
          <w:sz w:val="24"/>
        </w:rPr>
        <w:t>16．投标有效期</w:t>
      </w:r>
      <w:bookmarkEnd w:id="104"/>
      <w:bookmarkEnd w:id="105"/>
      <w:bookmarkEnd w:id="106"/>
    </w:p>
    <w:p>
      <w:pPr>
        <w:tabs>
          <w:tab w:val="left" w:pos="7665"/>
        </w:tabs>
        <w:spacing w:line="400" w:lineRule="exact"/>
        <w:ind w:left="20" w:leftChars="6" w:firstLine="480" w:firstLineChars="200"/>
        <w:rPr>
          <w:rFonts w:ascii="仿宋" w:hAnsi="仿宋" w:eastAsia="仿宋"/>
          <w:sz w:val="24"/>
        </w:rPr>
      </w:pPr>
      <w:r>
        <w:rPr>
          <w:rFonts w:hint="eastAsia" w:ascii="仿宋" w:hAnsi="仿宋" w:eastAsia="仿宋"/>
          <w:sz w:val="24"/>
        </w:rPr>
        <w:t>16</w:t>
      </w:r>
      <w:r>
        <w:rPr>
          <w:rFonts w:ascii="仿宋" w:hAnsi="仿宋" w:eastAsia="仿宋"/>
          <w:sz w:val="24"/>
        </w:rPr>
        <w:t>.</w:t>
      </w:r>
      <w:r>
        <w:rPr>
          <w:rFonts w:hint="eastAsia" w:ascii="仿宋" w:hAnsi="仿宋" w:eastAsia="仿宋"/>
          <w:sz w:val="24"/>
        </w:rPr>
        <w:t>1 投标有效期见投标人须知前附表。投标有效期短于此规定期限的投标，将被拒绝。</w:t>
      </w:r>
    </w:p>
    <w:p>
      <w:pPr>
        <w:tabs>
          <w:tab w:val="left" w:pos="7665"/>
        </w:tabs>
        <w:spacing w:line="400" w:lineRule="exact"/>
        <w:ind w:left="20" w:leftChars="6" w:firstLine="360" w:firstLineChars="150"/>
        <w:rPr>
          <w:rFonts w:ascii="仿宋" w:hAnsi="仿宋" w:eastAsia="仿宋"/>
          <w:sz w:val="24"/>
        </w:rPr>
      </w:pPr>
      <w:r>
        <w:rPr>
          <w:rFonts w:hint="eastAsia" w:ascii="仿宋" w:hAnsi="仿宋" w:eastAsia="仿宋"/>
          <w:sz w:val="24"/>
        </w:rPr>
        <w:t xml:space="preserve"> 16</w:t>
      </w:r>
      <w:r>
        <w:rPr>
          <w:rFonts w:ascii="仿宋" w:hAnsi="仿宋" w:eastAsia="仿宋"/>
          <w:sz w:val="24"/>
        </w:rPr>
        <w:t>.</w:t>
      </w:r>
      <w:r>
        <w:rPr>
          <w:rFonts w:hint="eastAsia" w:ascii="仿宋" w:hAnsi="仿宋" w:eastAsia="仿宋"/>
          <w:sz w:val="24"/>
        </w:rPr>
        <w:t>2 特殊情况下，招标人可于投标有效期满之前要求投标人同意延长有效期，要求与答复均应为书面形式。投标人可以拒绝上述要求，拒绝延长投标有效期的投标人不得再参与该项目后续采购活动。同意延长投标有效期的投标人不能修改其投标文件。</w:t>
      </w:r>
    </w:p>
    <w:p>
      <w:pPr>
        <w:pStyle w:val="4"/>
        <w:spacing w:line="400" w:lineRule="exact"/>
        <w:ind w:firstLine="482" w:firstLineChars="200"/>
        <w:rPr>
          <w:rFonts w:ascii="仿宋" w:hAnsi="仿宋" w:eastAsia="仿宋"/>
          <w:bCs/>
          <w:sz w:val="24"/>
        </w:rPr>
      </w:pPr>
      <w:bookmarkStart w:id="107" w:name="_Toc217446052"/>
      <w:bookmarkStart w:id="108" w:name="_Toc183682362"/>
      <w:bookmarkStart w:id="109" w:name="_Toc183582225"/>
      <w:r>
        <w:rPr>
          <w:rFonts w:hint="eastAsia" w:ascii="仿宋" w:hAnsi="仿宋" w:eastAsia="仿宋"/>
          <w:bCs/>
          <w:sz w:val="24"/>
        </w:rPr>
        <w:t>17．投标文件的印制和签署</w:t>
      </w:r>
      <w:bookmarkEnd w:id="107"/>
      <w:bookmarkEnd w:id="108"/>
      <w:bookmarkEnd w:id="109"/>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w:t>
      </w:r>
      <w:r>
        <w:rPr>
          <w:rFonts w:ascii="仿宋" w:hAnsi="仿宋" w:eastAsia="仿宋"/>
          <w:sz w:val="24"/>
        </w:rPr>
        <w:t>.</w:t>
      </w:r>
      <w:r>
        <w:rPr>
          <w:rFonts w:hint="eastAsia" w:ascii="仿宋" w:hAnsi="仿宋" w:eastAsia="仿宋"/>
          <w:sz w:val="24"/>
        </w:rPr>
        <w:t>1 投标人应按“投标须知前附表”准备投标文件正本、副本和相应的电子文档。投标文件的正本和副本应在其封面右上角清楚地标明“正本”或“副本”字样。若正本和副本有不一致的内容，以正本书面投标文件为准。</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17.2 投标文件的正本和副本均需打印或用不褪色、不变质的墨水书写，并由投标人的法定代表人或其授权代表在规定签章处签字和盖章。投标文件副本可采用正本的复印件，电子文档采用光盘或U盘制作。用于开标唱标单独提交的“开标一览表”（一式一份）应为原件。</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17.3 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17.4 投标文件正本和副本必须装订成册并编码。</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17.5 投标文件应根据招标文件的要求制作，签署、盖章和内容应完整。</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17.6 投标文件统一用</w:t>
      </w:r>
      <w:r>
        <w:rPr>
          <w:rFonts w:ascii="仿宋" w:hAnsi="仿宋" w:eastAsia="仿宋"/>
          <w:sz w:val="24"/>
        </w:rPr>
        <w:t>A4</w:t>
      </w:r>
      <w:r>
        <w:rPr>
          <w:rFonts w:hint="eastAsia" w:ascii="仿宋" w:hAnsi="仿宋" w:eastAsia="仿宋"/>
          <w:sz w:val="24"/>
        </w:rPr>
        <w:t>幅面纸印制。</w:t>
      </w:r>
    </w:p>
    <w:p>
      <w:pPr>
        <w:pStyle w:val="4"/>
        <w:spacing w:line="400" w:lineRule="exact"/>
        <w:ind w:firstLine="482" w:firstLineChars="200"/>
        <w:rPr>
          <w:rFonts w:ascii="仿宋" w:hAnsi="仿宋" w:eastAsia="仿宋"/>
          <w:sz w:val="24"/>
          <w:szCs w:val="24"/>
        </w:rPr>
      </w:pPr>
      <w:bookmarkStart w:id="110" w:name="_Toc89075877"/>
      <w:bookmarkStart w:id="111" w:name="_Toc77400781"/>
      <w:bookmarkStart w:id="112" w:name="_Toc183682363"/>
      <w:bookmarkStart w:id="113" w:name="_Toc183582226"/>
      <w:bookmarkStart w:id="114" w:name="_Toc217446053"/>
      <w:r>
        <w:rPr>
          <w:rFonts w:hint="eastAsia" w:ascii="仿宋" w:hAnsi="仿宋" w:eastAsia="仿宋"/>
          <w:bCs/>
          <w:sz w:val="24"/>
          <w:szCs w:val="24"/>
        </w:rPr>
        <w:t xml:space="preserve">18. </w:t>
      </w:r>
      <w:r>
        <w:rPr>
          <w:rFonts w:hint="eastAsia" w:ascii="仿宋" w:hAnsi="仿宋" w:eastAsia="仿宋"/>
          <w:sz w:val="24"/>
          <w:szCs w:val="24"/>
        </w:rPr>
        <w:t>投标文件的密封和标</w:t>
      </w:r>
      <w:bookmarkEnd w:id="110"/>
      <w:bookmarkEnd w:id="111"/>
      <w:bookmarkEnd w:id="112"/>
      <w:bookmarkEnd w:id="113"/>
      <w:r>
        <w:rPr>
          <w:rFonts w:hint="eastAsia" w:ascii="仿宋" w:hAnsi="仿宋" w:eastAsia="仿宋"/>
          <w:sz w:val="24"/>
          <w:szCs w:val="24"/>
        </w:rPr>
        <w:t>注</w:t>
      </w:r>
      <w:bookmarkEnd w:id="114"/>
    </w:p>
    <w:p>
      <w:pPr>
        <w:tabs>
          <w:tab w:val="left" w:pos="1080"/>
        </w:tabs>
        <w:spacing w:line="400" w:lineRule="exact"/>
        <w:rPr>
          <w:rFonts w:ascii="仿宋" w:hAnsi="仿宋" w:eastAsia="仿宋"/>
          <w:sz w:val="24"/>
        </w:rPr>
      </w:pPr>
      <w:r>
        <w:rPr>
          <w:rFonts w:hint="eastAsia" w:ascii="仿宋" w:hAnsi="仿宋" w:eastAsia="仿宋"/>
          <w:sz w:val="24"/>
        </w:rPr>
        <w:t>18.1 投标人应在投标文件正本和所有副本的封面上注明投标人名称、招标编号、项目名称及分包号（如有分包）。</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18.2 投标文件正本、所有副本和招标文件要求单独提交的“开标一览表”（一式一份）、电子文档，应分别封装于不同的密封袋内，密封袋上应分别标上“正本”、“副本”、“开标一览表”字样，并注明投标人名称、招标编号、项目名称及分包号（如有分包）。</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18.3 所有外层密封袋的封口处应粘贴牢固，并加盖密封章（投标人印章）。</w:t>
      </w:r>
    </w:p>
    <w:p>
      <w:pPr>
        <w:tabs>
          <w:tab w:val="left" w:pos="1080"/>
        </w:tabs>
        <w:spacing w:line="400" w:lineRule="exact"/>
        <w:rPr>
          <w:rFonts w:ascii="仿宋" w:hAnsi="仿宋" w:eastAsia="仿宋"/>
          <w:sz w:val="24"/>
        </w:rPr>
      </w:pPr>
    </w:p>
    <w:p>
      <w:pPr>
        <w:pStyle w:val="4"/>
        <w:spacing w:line="400" w:lineRule="exact"/>
        <w:ind w:firstLine="482" w:firstLineChars="200"/>
        <w:rPr>
          <w:rFonts w:ascii="仿宋" w:hAnsi="仿宋" w:eastAsia="仿宋"/>
          <w:bCs/>
          <w:sz w:val="24"/>
          <w:szCs w:val="24"/>
        </w:rPr>
      </w:pPr>
      <w:bookmarkStart w:id="115" w:name="_Toc183582227"/>
      <w:bookmarkStart w:id="116" w:name="_Toc183682364"/>
      <w:bookmarkStart w:id="117" w:name="_Toc217446054"/>
      <w:r>
        <w:rPr>
          <w:rFonts w:hint="eastAsia" w:ascii="仿宋" w:hAnsi="仿宋" w:eastAsia="仿宋"/>
          <w:bCs/>
          <w:sz w:val="24"/>
          <w:szCs w:val="24"/>
        </w:rPr>
        <w:t>19</w:t>
      </w:r>
      <w:r>
        <w:rPr>
          <w:rFonts w:hint="eastAsia" w:ascii="仿宋" w:hAnsi="仿宋" w:eastAsia="仿宋"/>
          <w:bCs/>
          <w:sz w:val="28"/>
          <w:szCs w:val="28"/>
        </w:rPr>
        <w:t>．</w:t>
      </w:r>
      <w:r>
        <w:rPr>
          <w:rFonts w:hint="eastAsia" w:ascii="仿宋" w:hAnsi="仿宋" w:eastAsia="仿宋"/>
          <w:bCs/>
          <w:sz w:val="24"/>
          <w:szCs w:val="24"/>
        </w:rPr>
        <w:t>投标文件的</w:t>
      </w:r>
      <w:bookmarkEnd w:id="115"/>
      <w:bookmarkEnd w:id="116"/>
      <w:r>
        <w:rPr>
          <w:rFonts w:hint="eastAsia" w:ascii="仿宋" w:hAnsi="仿宋" w:eastAsia="仿宋"/>
          <w:bCs/>
          <w:sz w:val="24"/>
          <w:szCs w:val="24"/>
        </w:rPr>
        <w:t>递交</w:t>
      </w:r>
      <w:bookmarkEnd w:id="117"/>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19.1 投标人应在招标文件规定的投标截止时间前，将投标文件按投标须知规定密封后送达开标地点。投标截止时间以后送达的投标文件将被拒绝。</w:t>
      </w:r>
    </w:p>
    <w:p>
      <w:pPr>
        <w:pStyle w:val="7"/>
        <w:spacing w:line="400" w:lineRule="exact"/>
        <w:ind w:firstLine="480"/>
        <w:rPr>
          <w:rFonts w:ascii="仿宋" w:hAnsi="仿宋" w:eastAsia="仿宋"/>
          <w:sz w:val="24"/>
        </w:rPr>
      </w:pPr>
      <w:r>
        <w:rPr>
          <w:rFonts w:hint="eastAsia" w:ascii="仿宋" w:hAnsi="仿宋" w:eastAsia="仿宋"/>
          <w:sz w:val="24"/>
        </w:rPr>
        <w:t>19.2 本次招标不接受邮寄的投标文件。</w:t>
      </w:r>
    </w:p>
    <w:p>
      <w:pPr>
        <w:pStyle w:val="4"/>
        <w:spacing w:line="400" w:lineRule="exact"/>
        <w:ind w:firstLine="482" w:firstLineChars="200"/>
        <w:rPr>
          <w:rFonts w:ascii="仿宋" w:hAnsi="仿宋" w:eastAsia="仿宋"/>
          <w:bCs/>
          <w:spacing w:val="20"/>
          <w:sz w:val="24"/>
          <w:szCs w:val="24"/>
        </w:rPr>
      </w:pPr>
      <w:bookmarkStart w:id="118" w:name="_Toc183582228"/>
      <w:bookmarkStart w:id="119" w:name="_Toc183682365"/>
      <w:bookmarkStart w:id="120" w:name="_Toc217446055"/>
      <w:r>
        <w:rPr>
          <w:rFonts w:hint="eastAsia" w:ascii="仿宋" w:hAnsi="仿宋" w:eastAsia="仿宋"/>
          <w:bCs/>
          <w:sz w:val="24"/>
        </w:rPr>
        <w:t>20．</w:t>
      </w:r>
      <w:r>
        <w:rPr>
          <w:rFonts w:hint="eastAsia" w:ascii="仿宋" w:hAnsi="仿宋" w:eastAsia="仿宋"/>
          <w:bCs/>
          <w:spacing w:val="20"/>
          <w:sz w:val="24"/>
          <w:szCs w:val="24"/>
        </w:rPr>
        <w:t>投标文件的修改和撤</w:t>
      </w:r>
      <w:bookmarkEnd w:id="118"/>
      <w:bookmarkEnd w:id="119"/>
      <w:r>
        <w:rPr>
          <w:rFonts w:hint="eastAsia" w:ascii="仿宋" w:hAnsi="仿宋" w:eastAsia="仿宋"/>
          <w:bCs/>
          <w:spacing w:val="20"/>
          <w:sz w:val="24"/>
          <w:szCs w:val="24"/>
        </w:rPr>
        <w:t>回</w:t>
      </w:r>
      <w:bookmarkEnd w:id="120"/>
    </w:p>
    <w:p>
      <w:pPr>
        <w:spacing w:line="400" w:lineRule="exact"/>
        <w:ind w:firstLine="470" w:firstLineChars="196"/>
        <w:rPr>
          <w:rFonts w:ascii="仿宋" w:hAnsi="仿宋" w:eastAsia="仿宋"/>
          <w:sz w:val="24"/>
        </w:rPr>
      </w:pPr>
      <w:r>
        <w:rPr>
          <w:rFonts w:hint="eastAsia" w:ascii="仿宋" w:hAnsi="仿宋" w:eastAsia="仿宋"/>
          <w:sz w:val="24"/>
        </w:rPr>
        <w:t>20</w:t>
      </w:r>
      <w:r>
        <w:rPr>
          <w:rFonts w:ascii="仿宋" w:hAnsi="仿宋" w:eastAsia="仿宋"/>
          <w:sz w:val="24"/>
        </w:rPr>
        <w:t>.</w:t>
      </w:r>
      <w:r>
        <w:rPr>
          <w:rFonts w:hint="eastAsia" w:ascii="仿宋" w:hAnsi="仿宋" w:eastAsia="仿宋"/>
          <w:sz w:val="24"/>
        </w:rPr>
        <w:t>1 投标人在递交了投标文件后，可以修改或撤回其投标文件，但必须在规定的投标截止时间前，以书面形式通知招标人。</w:t>
      </w:r>
    </w:p>
    <w:p>
      <w:pPr>
        <w:spacing w:line="400" w:lineRule="exact"/>
        <w:ind w:firstLine="470" w:firstLineChars="196"/>
        <w:rPr>
          <w:rFonts w:ascii="仿宋" w:hAnsi="仿宋" w:eastAsia="仿宋"/>
          <w:sz w:val="24"/>
        </w:rPr>
      </w:pPr>
      <w:r>
        <w:rPr>
          <w:rFonts w:hint="eastAsia" w:ascii="仿宋" w:hAnsi="仿宋" w:eastAsia="仿宋"/>
          <w:sz w:val="24"/>
        </w:rPr>
        <w:t>20</w:t>
      </w:r>
      <w:r>
        <w:rPr>
          <w:rFonts w:ascii="仿宋" w:hAnsi="仿宋" w:eastAsia="仿宋"/>
          <w:sz w:val="24"/>
        </w:rPr>
        <w:t>.2</w:t>
      </w:r>
      <w:r>
        <w:rPr>
          <w:rFonts w:hint="eastAsia" w:ascii="仿宋" w:hAnsi="仿宋" w:eastAsia="仿宋"/>
          <w:sz w:val="24"/>
        </w:rPr>
        <w:t xml:space="preserve"> 投标人的修改书或撤回通知书，应由其法定代表人或授权代表签署并盖单位印章。修改书应按投标须知规定进行密封和标注，并在密封袋上标注“修改”字样。</w:t>
      </w:r>
    </w:p>
    <w:p>
      <w:pPr>
        <w:spacing w:line="400" w:lineRule="exact"/>
        <w:ind w:firstLine="470" w:firstLineChars="196"/>
        <w:rPr>
          <w:rFonts w:ascii="仿宋" w:hAnsi="仿宋" w:eastAsia="仿宋"/>
          <w:sz w:val="24"/>
        </w:rPr>
      </w:pPr>
      <w:r>
        <w:rPr>
          <w:rFonts w:hint="eastAsia" w:ascii="仿宋" w:hAnsi="仿宋" w:eastAsia="仿宋"/>
          <w:sz w:val="24"/>
        </w:rPr>
        <w:t>20</w:t>
      </w:r>
      <w:r>
        <w:rPr>
          <w:rFonts w:ascii="仿宋" w:hAnsi="仿宋" w:eastAsia="仿宋"/>
          <w:sz w:val="24"/>
        </w:rPr>
        <w:t>.3</w:t>
      </w:r>
      <w:r>
        <w:rPr>
          <w:rFonts w:hint="eastAsia" w:ascii="仿宋" w:hAnsi="仿宋" w:eastAsia="仿宋"/>
          <w:sz w:val="24"/>
        </w:rPr>
        <w:t xml:space="preserve"> 在投标截止时间之后，投标人不得对其递交的投标文件做任何修改或撤回投标。</w:t>
      </w:r>
    </w:p>
    <w:p>
      <w:pPr>
        <w:pStyle w:val="3"/>
        <w:spacing w:line="400" w:lineRule="exact"/>
        <w:jc w:val="center"/>
        <w:rPr>
          <w:rFonts w:ascii="仿宋" w:hAnsi="仿宋" w:eastAsia="仿宋"/>
        </w:rPr>
      </w:pPr>
      <w:bookmarkStart w:id="121" w:name="_Toc217446056"/>
      <w:bookmarkStart w:id="122" w:name="_Toc183582231"/>
      <w:bookmarkStart w:id="123" w:name="_Toc89075878"/>
      <w:bookmarkStart w:id="124" w:name="_Toc77400782"/>
      <w:bookmarkStart w:id="125" w:name="_Toc183682368"/>
      <w:r>
        <w:rPr>
          <w:rFonts w:hint="eastAsia" w:ascii="仿宋" w:hAnsi="仿宋" w:eastAsia="仿宋"/>
        </w:rPr>
        <w:t>四、开标和评标</w:t>
      </w:r>
      <w:bookmarkEnd w:id="121"/>
      <w:bookmarkEnd w:id="122"/>
      <w:bookmarkEnd w:id="123"/>
      <w:bookmarkEnd w:id="124"/>
      <w:bookmarkEnd w:id="125"/>
    </w:p>
    <w:p>
      <w:pPr>
        <w:pStyle w:val="4"/>
        <w:spacing w:line="400" w:lineRule="exact"/>
        <w:ind w:firstLine="482" w:firstLineChars="200"/>
        <w:rPr>
          <w:rFonts w:ascii="仿宋" w:hAnsi="仿宋" w:eastAsia="仿宋"/>
          <w:bCs/>
          <w:sz w:val="24"/>
        </w:rPr>
      </w:pPr>
      <w:bookmarkStart w:id="126" w:name="_Toc183682369"/>
      <w:bookmarkStart w:id="127" w:name="_Toc183582232"/>
      <w:bookmarkStart w:id="128" w:name="_Toc217446057"/>
      <w:r>
        <w:rPr>
          <w:rFonts w:hint="eastAsia" w:ascii="仿宋" w:hAnsi="仿宋" w:eastAsia="仿宋"/>
          <w:bCs/>
          <w:sz w:val="24"/>
        </w:rPr>
        <w:t>21．开标</w:t>
      </w:r>
      <w:bookmarkEnd w:id="126"/>
      <w:bookmarkEnd w:id="127"/>
      <w:bookmarkEnd w:id="128"/>
    </w:p>
    <w:p>
      <w:pPr>
        <w:spacing w:before="120" w:line="400" w:lineRule="exact"/>
        <w:ind w:firstLine="480" w:firstLineChars="200"/>
        <w:rPr>
          <w:rFonts w:ascii="仿宋" w:hAnsi="仿宋" w:eastAsia="仿宋"/>
          <w:b/>
          <w:bCs/>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 招标人在招标文件规定的时间和地点组织开标，招标人、投标人须派代表参加并签到以证明其出席。</w:t>
      </w:r>
    </w:p>
    <w:p>
      <w:pPr>
        <w:spacing w:line="400" w:lineRule="exact"/>
        <w:ind w:firstLine="480" w:firstLineChars="200"/>
        <w:rPr>
          <w:rFonts w:ascii="仿宋" w:hAnsi="仿宋" w:eastAsia="仿宋"/>
          <w:sz w:val="24"/>
        </w:rPr>
      </w:pPr>
      <w:r>
        <w:rPr>
          <w:rFonts w:hint="eastAsia" w:ascii="仿宋" w:hAnsi="仿宋" w:eastAsia="仿宋"/>
          <w:sz w:val="24"/>
        </w:rPr>
        <w:t>21.2 开标时，招标人可以申请公证机构对投标文件的密封情况进行检查并公证。经确认无误后，由招标工作人员或公证人员将投标人单独递交的“开标一览表”当众拆封，并由唱标人员按照招标文件规定的内容进行宣读。</w:t>
      </w:r>
    </w:p>
    <w:p>
      <w:pPr>
        <w:spacing w:line="400" w:lineRule="exact"/>
        <w:ind w:firstLine="480" w:firstLineChars="200"/>
        <w:rPr>
          <w:rFonts w:ascii="仿宋" w:hAnsi="仿宋" w:eastAsia="仿宋"/>
          <w:sz w:val="24"/>
        </w:rPr>
      </w:pPr>
      <w:r>
        <w:rPr>
          <w:rFonts w:hint="eastAsia" w:ascii="仿宋" w:hAnsi="仿宋" w:eastAsia="仿宋"/>
          <w:sz w:val="24"/>
        </w:rPr>
        <w:t>21.3 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25"/>
        <w:spacing w:line="400" w:lineRule="exact"/>
        <w:ind w:firstLine="480"/>
        <w:rPr>
          <w:rFonts w:ascii="仿宋" w:hAnsi="仿宋" w:eastAsia="仿宋"/>
          <w:sz w:val="24"/>
          <w:szCs w:val="24"/>
        </w:rPr>
      </w:pPr>
      <w:r>
        <w:rPr>
          <w:rFonts w:hint="eastAsia" w:ascii="仿宋" w:hAnsi="仿宋" w:eastAsia="仿宋"/>
          <w:sz w:val="24"/>
          <w:szCs w:val="24"/>
        </w:rPr>
        <w:t>21.4 投标文件中有关明细表内容与“开标一览表”不一致的，以“开标一览表”为准。对不同文字文本投标文件的解释发生异议的，以中文文本为准。</w:t>
      </w:r>
    </w:p>
    <w:p>
      <w:pPr>
        <w:spacing w:line="400" w:lineRule="exact"/>
        <w:ind w:firstLine="480" w:firstLineChars="200"/>
        <w:rPr>
          <w:rFonts w:ascii="仿宋" w:hAnsi="仿宋" w:eastAsia="仿宋"/>
          <w:sz w:val="24"/>
        </w:rPr>
      </w:pPr>
      <w:r>
        <w:rPr>
          <w:rFonts w:hint="eastAsia" w:ascii="仿宋" w:hAnsi="仿宋" w:eastAsia="仿宋"/>
          <w:sz w:val="24"/>
        </w:rPr>
        <w:t>21.5 所有投标唱标完毕，如投标人代表对宣读的“开标一览表”上的内容有异议的，应在获得开标会主持人同意后当场提出。如确实属于唱标人员宣读错了的，经现场监督人员和公证人员核实后，当场予以更正。</w:t>
      </w:r>
    </w:p>
    <w:p>
      <w:pPr>
        <w:pStyle w:val="4"/>
        <w:spacing w:line="400" w:lineRule="exact"/>
        <w:ind w:firstLine="482" w:firstLineChars="200"/>
        <w:rPr>
          <w:rFonts w:ascii="仿宋" w:hAnsi="仿宋" w:eastAsia="仿宋"/>
          <w:sz w:val="24"/>
          <w:szCs w:val="24"/>
        </w:rPr>
      </w:pPr>
      <w:bookmarkStart w:id="129" w:name="_Toc217446058"/>
      <w:r>
        <w:rPr>
          <w:rFonts w:hint="eastAsia" w:ascii="仿宋" w:hAnsi="仿宋" w:eastAsia="仿宋"/>
          <w:sz w:val="24"/>
          <w:szCs w:val="24"/>
        </w:rPr>
        <w:t>22. 开标程序</w:t>
      </w:r>
      <w:bookmarkEnd w:id="129"/>
    </w:p>
    <w:p>
      <w:pPr>
        <w:pStyle w:val="25"/>
        <w:spacing w:line="400" w:lineRule="exact"/>
        <w:ind w:firstLine="480"/>
        <w:rPr>
          <w:rFonts w:ascii="仿宋" w:hAnsi="仿宋" w:eastAsia="仿宋"/>
          <w:sz w:val="24"/>
          <w:szCs w:val="24"/>
        </w:rPr>
      </w:pPr>
      <w:r>
        <w:rPr>
          <w:rFonts w:hint="eastAsia" w:ascii="仿宋" w:hAnsi="仿宋" w:eastAsia="仿宋"/>
          <w:sz w:val="24"/>
          <w:szCs w:val="24"/>
        </w:rPr>
        <w:t>22.1 开标会主持人按照招标文件规定的开标时间宣布开标，按照规定要求主持开标会。开标将按以下程序进行：</w:t>
      </w:r>
    </w:p>
    <w:p>
      <w:pPr>
        <w:spacing w:line="400" w:lineRule="exact"/>
        <w:ind w:firstLine="480" w:firstLineChars="200"/>
        <w:rPr>
          <w:rFonts w:ascii="仿宋" w:hAnsi="仿宋" w:eastAsia="仿宋"/>
          <w:sz w:val="24"/>
        </w:rPr>
      </w:pPr>
      <w:r>
        <w:rPr>
          <w:rFonts w:hint="eastAsia" w:ascii="仿宋" w:hAnsi="仿宋" w:eastAsia="仿宋"/>
          <w:sz w:val="24"/>
        </w:rPr>
        <w:t>（1）宣布开标会开始。开标时间到，主持人宣布开标会开始并致辞，当众宣布参加开标会的现场监督人员、公证人员和主持人、唱标、监标、会议记录等招标工作人员，根据“供应商签到表”宣布参加投标的供应商名单。</w:t>
      </w:r>
    </w:p>
    <w:p>
      <w:pPr>
        <w:spacing w:line="400" w:lineRule="exact"/>
        <w:ind w:firstLine="480" w:firstLineChars="200"/>
        <w:rPr>
          <w:rFonts w:ascii="仿宋" w:hAnsi="仿宋" w:eastAsia="仿宋"/>
          <w:sz w:val="24"/>
        </w:rPr>
      </w:pPr>
      <w:r>
        <w:rPr>
          <w:rFonts w:hint="eastAsia" w:ascii="仿宋" w:hAnsi="仿宋" w:eastAsia="仿宋"/>
          <w:sz w:val="24"/>
        </w:rPr>
        <w:t>（2）宣布会场纪律和有关注意事项。</w:t>
      </w:r>
    </w:p>
    <w:p>
      <w:pPr>
        <w:spacing w:line="400" w:lineRule="exact"/>
        <w:ind w:firstLine="480" w:firstLineChars="200"/>
        <w:rPr>
          <w:rFonts w:ascii="仿宋" w:hAnsi="仿宋" w:eastAsia="仿宋"/>
          <w:sz w:val="24"/>
        </w:rPr>
      </w:pPr>
      <w:r>
        <w:rPr>
          <w:rFonts w:hint="eastAsia" w:ascii="仿宋" w:hAnsi="仿宋" w:eastAsia="仿宋"/>
          <w:sz w:val="24"/>
        </w:rPr>
        <w:t>（3）当众宣布检查投标文件的密封情况。</w:t>
      </w:r>
    </w:p>
    <w:p>
      <w:pPr>
        <w:spacing w:line="400" w:lineRule="exact"/>
        <w:ind w:firstLine="460" w:firstLineChars="192"/>
        <w:rPr>
          <w:rFonts w:ascii="仿宋" w:hAnsi="仿宋" w:eastAsia="仿宋"/>
          <w:sz w:val="24"/>
        </w:rPr>
      </w:pPr>
      <w:r>
        <w:rPr>
          <w:rFonts w:hint="eastAsia" w:ascii="仿宋" w:hAnsi="仿宋" w:eastAsia="仿宋"/>
          <w:sz w:val="24"/>
        </w:rPr>
        <w:t>（4）开标唱标。主持人宣布开标后，由现场工作人员按任意顺序对投标人的“开标一览表”当众进行拆封，由唱标人员对其“开标一览表”的项目名称、投标产品的规格型号、投标总价以及投标人名称进行宣读。同时，工作人员将投标人的“开标一览表”投影在屏幕上，并做开标记录。唱标人员在唱标过程中，如遇有字迹不清楚的，应即刻报告主持人，经核实后，主持人立即请投标人代表现场进行澄清。</w:t>
      </w:r>
    </w:p>
    <w:p>
      <w:pPr>
        <w:spacing w:line="400" w:lineRule="exact"/>
        <w:ind w:firstLine="480" w:firstLineChars="200"/>
        <w:rPr>
          <w:rFonts w:ascii="仿宋" w:hAnsi="仿宋" w:eastAsia="仿宋"/>
          <w:sz w:val="24"/>
        </w:rPr>
      </w:pPr>
      <w:r>
        <w:rPr>
          <w:rFonts w:hint="eastAsia" w:ascii="仿宋" w:hAnsi="仿宋" w:eastAsia="仿宋"/>
          <w:sz w:val="24"/>
        </w:rPr>
        <w:t>（5）宣布开标会结束。主持人宣布开标会结束后，所有投标人代表应立即退场。</w:t>
      </w:r>
    </w:p>
    <w:p>
      <w:pPr>
        <w:pStyle w:val="4"/>
        <w:spacing w:line="400" w:lineRule="exact"/>
        <w:ind w:firstLine="482" w:firstLineChars="200"/>
        <w:rPr>
          <w:rFonts w:ascii="仿宋" w:hAnsi="仿宋" w:eastAsia="仿宋"/>
          <w:sz w:val="24"/>
          <w:szCs w:val="24"/>
        </w:rPr>
      </w:pPr>
      <w:bookmarkStart w:id="130" w:name="_Toc217446059"/>
      <w:r>
        <w:rPr>
          <w:rFonts w:hint="eastAsia" w:ascii="仿宋" w:hAnsi="仿宋" w:eastAsia="仿宋"/>
          <w:sz w:val="24"/>
          <w:szCs w:val="24"/>
        </w:rPr>
        <w:t>23. 评标</w:t>
      </w:r>
      <w:bookmarkEnd w:id="130"/>
    </w:p>
    <w:p>
      <w:pPr>
        <w:spacing w:line="400" w:lineRule="exact"/>
        <w:ind w:left="182" w:leftChars="50" w:hanging="12" w:hangingChars="5"/>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w:t>
      </w:r>
      <w:r>
        <w:rPr>
          <w:rFonts w:hint="eastAsia" w:ascii="仿宋" w:hAnsi="仿宋" w:eastAsia="仿宋"/>
          <w:sz w:val="24"/>
        </w:rPr>
        <w:t>1 评标工作由招标人依法组建的评标委员会（以下简称评委会）负责。</w:t>
      </w:r>
    </w:p>
    <w:p>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w:t>
      </w:r>
      <w:r>
        <w:rPr>
          <w:rFonts w:hint="eastAsia" w:ascii="仿宋" w:hAnsi="仿宋" w:eastAsia="仿宋"/>
          <w:sz w:val="24"/>
        </w:rPr>
        <w:t>2 评标过程严格保密。投标人对评委会的评标过程或合同授予决定施加影响的任何行为都可能导致其投标被拒绝。</w:t>
      </w:r>
    </w:p>
    <w:p>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w:t>
      </w:r>
      <w:r>
        <w:rPr>
          <w:rFonts w:hint="eastAsia" w:ascii="仿宋" w:hAnsi="仿宋" w:eastAsia="仿宋"/>
          <w:sz w:val="24"/>
        </w:rPr>
        <w:t>3 在评标期间，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pPr>
        <w:spacing w:line="400" w:lineRule="exact"/>
        <w:ind w:firstLine="480" w:firstLineChars="200"/>
        <w:rPr>
          <w:rFonts w:ascii="仿宋" w:hAnsi="仿宋" w:eastAsia="仿宋"/>
          <w:sz w:val="24"/>
        </w:rPr>
      </w:pPr>
      <w:r>
        <w:rPr>
          <w:rFonts w:hint="eastAsia" w:ascii="仿宋" w:hAnsi="仿宋" w:eastAsia="仿宋"/>
          <w:sz w:val="24"/>
        </w:rPr>
        <w:t>23.4 评委会认定实质性响应招标文件的投标是投标文件与招标文件要求的全部条款、条件和规格没有实质性负偏离。评委会决定投标文件的响应性依据投标文件本身的内容，而不寻求外部的证据。</w:t>
      </w:r>
    </w:p>
    <w:p>
      <w:pPr>
        <w:spacing w:line="400" w:lineRule="exact"/>
        <w:ind w:firstLine="470" w:firstLineChars="196"/>
        <w:rPr>
          <w:rFonts w:ascii="仿宋" w:hAnsi="仿宋" w:eastAsia="仿宋"/>
          <w:sz w:val="24"/>
        </w:rPr>
      </w:pPr>
      <w:r>
        <w:rPr>
          <w:rFonts w:hint="eastAsia" w:ascii="仿宋" w:hAnsi="仿宋" w:eastAsia="仿宋"/>
          <w:sz w:val="24"/>
        </w:rPr>
        <w:t>23.5投标文件如果没有实质性响应招标文件的要求，评委会将予以拒绝。投标人不得通过修正或撤消不合要求的偏离或保留从而使其投标成为实质性响应的投标。</w:t>
      </w:r>
    </w:p>
    <w:p>
      <w:pPr>
        <w:spacing w:line="400" w:lineRule="exact"/>
        <w:ind w:firstLine="460" w:firstLineChars="192"/>
        <w:rPr>
          <w:rFonts w:ascii="仿宋" w:hAnsi="仿宋" w:eastAsia="仿宋"/>
          <w:sz w:val="24"/>
        </w:rPr>
      </w:pPr>
      <w:r>
        <w:rPr>
          <w:rFonts w:hint="eastAsia" w:ascii="仿宋" w:hAnsi="仿宋" w:eastAsia="仿宋"/>
          <w:sz w:val="24"/>
        </w:rPr>
        <w:t>23.6 评委会只对确定为实质性响应招标文件要求的投标文件，根据招标文件的要求采用相同的评标程序、评分办法及标准进行评价和比较。</w:t>
      </w:r>
    </w:p>
    <w:p>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3.7 投标文件属于下列情况的，在资格性、符合性检查时按照无效投标处理：</w:t>
      </w:r>
    </w:p>
    <w:p>
      <w:pPr>
        <w:spacing w:line="400" w:lineRule="exact"/>
        <w:ind w:firstLine="480" w:firstLineChars="200"/>
        <w:rPr>
          <w:rFonts w:ascii="仿宋" w:hAnsi="仿宋" w:eastAsia="仿宋"/>
          <w:sz w:val="24"/>
        </w:rPr>
      </w:pPr>
      <w:r>
        <w:rPr>
          <w:rFonts w:hint="eastAsia" w:ascii="仿宋" w:hAnsi="仿宋" w:eastAsia="仿宋"/>
          <w:sz w:val="24"/>
        </w:rPr>
        <w:t>（1）未按照招标文件规定和要求签署、盖章的</w:t>
      </w:r>
      <w:r>
        <w:rPr>
          <w:rFonts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（2）不具备招标文件中规定的资格条件和要求的</w:t>
      </w:r>
      <w:r>
        <w:rPr>
          <w:rFonts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w:t>
      </w:r>
      <w:bookmarkStart w:id="131" w:name="_Toc183682370"/>
      <w:bookmarkStart w:id="132" w:name="_Toc183582233"/>
      <w:r>
        <w:rPr>
          <w:rFonts w:hint="eastAsia" w:ascii="仿宋" w:hAnsi="仿宋" w:eastAsia="仿宋"/>
          <w:sz w:val="24"/>
        </w:rPr>
        <w:t>3）招标文件规定的其他无效投标情形；</w:t>
      </w:r>
    </w:p>
    <w:p>
      <w:pPr>
        <w:spacing w:line="400" w:lineRule="exact"/>
        <w:ind w:firstLine="480" w:firstLineChars="200"/>
        <w:rPr>
          <w:rFonts w:ascii="仿宋" w:hAnsi="仿宋" w:eastAsia="仿宋"/>
          <w:sz w:val="24"/>
        </w:rPr>
      </w:pPr>
      <w:r>
        <w:rPr>
          <w:rFonts w:hint="eastAsia" w:ascii="仿宋" w:hAnsi="仿宋" w:eastAsia="仿宋"/>
          <w:sz w:val="24"/>
        </w:rPr>
        <w:t>（4）不符合法律法规和招标文件中规定的其他实质性要求的。</w:t>
      </w:r>
    </w:p>
    <w:bookmarkEnd w:id="131"/>
    <w:bookmarkEnd w:id="132"/>
    <w:p>
      <w:pPr>
        <w:pStyle w:val="3"/>
        <w:spacing w:line="400" w:lineRule="exact"/>
        <w:jc w:val="center"/>
        <w:rPr>
          <w:rFonts w:ascii="仿宋" w:hAnsi="仿宋" w:eastAsia="仿宋"/>
          <w:szCs w:val="28"/>
        </w:rPr>
      </w:pPr>
      <w:bookmarkStart w:id="133" w:name="_Toc217446060"/>
      <w:r>
        <w:rPr>
          <w:rFonts w:hint="eastAsia" w:ascii="仿宋" w:hAnsi="仿宋" w:eastAsia="仿宋"/>
          <w:szCs w:val="28"/>
        </w:rPr>
        <w:t>五、定标</w:t>
      </w:r>
      <w:bookmarkEnd w:id="133"/>
      <w:bookmarkStart w:id="134" w:name="_Toc217446061"/>
    </w:p>
    <w:p>
      <w:pPr>
        <w:pStyle w:val="4"/>
        <w:spacing w:line="400" w:lineRule="exact"/>
        <w:ind w:firstLine="482" w:firstLineChars="200"/>
        <w:rPr>
          <w:rFonts w:ascii="仿宋" w:hAnsi="仿宋" w:eastAsia="仿宋"/>
          <w:sz w:val="24"/>
          <w:szCs w:val="24"/>
        </w:rPr>
      </w:pPr>
      <w:r>
        <w:rPr>
          <w:rFonts w:hint="eastAsia" w:ascii="仿宋" w:hAnsi="仿宋" w:eastAsia="仿宋"/>
          <w:sz w:val="24"/>
          <w:szCs w:val="24"/>
        </w:rPr>
        <w:t>24. 定标原则</w:t>
      </w:r>
      <w:bookmarkEnd w:id="134"/>
    </w:p>
    <w:p>
      <w:pPr>
        <w:pStyle w:val="7"/>
        <w:spacing w:line="400" w:lineRule="exact"/>
        <w:ind w:firstLine="480"/>
        <w:rPr>
          <w:rFonts w:ascii="仿宋" w:hAnsi="仿宋" w:eastAsia="仿宋"/>
          <w:sz w:val="24"/>
        </w:rPr>
      </w:pPr>
      <w:r>
        <w:rPr>
          <w:rFonts w:hint="eastAsia" w:ascii="仿宋" w:hAnsi="仿宋" w:eastAsia="仿宋"/>
          <w:sz w:val="24"/>
        </w:rPr>
        <w:t>根据评委会推荐的中标候选人名单，按顺序确定中标人。</w:t>
      </w:r>
    </w:p>
    <w:p>
      <w:pPr>
        <w:pStyle w:val="4"/>
        <w:spacing w:line="400" w:lineRule="exact"/>
        <w:ind w:firstLine="482" w:firstLineChars="200"/>
        <w:rPr>
          <w:rFonts w:ascii="仿宋" w:hAnsi="仿宋" w:eastAsia="仿宋"/>
          <w:sz w:val="24"/>
          <w:szCs w:val="24"/>
        </w:rPr>
      </w:pPr>
      <w:bookmarkStart w:id="135" w:name="_Toc217446062"/>
      <w:r>
        <w:rPr>
          <w:rFonts w:hint="eastAsia" w:ascii="仿宋" w:hAnsi="仿宋" w:eastAsia="仿宋"/>
          <w:sz w:val="24"/>
          <w:szCs w:val="24"/>
        </w:rPr>
        <w:t>25. 定标程序</w:t>
      </w:r>
      <w:bookmarkEnd w:id="135"/>
    </w:p>
    <w:p>
      <w:pPr>
        <w:spacing w:line="400" w:lineRule="exact"/>
        <w:ind w:firstLine="420" w:firstLineChars="175"/>
        <w:rPr>
          <w:rFonts w:ascii="仿宋" w:hAnsi="仿宋" w:eastAsia="仿宋"/>
          <w:sz w:val="24"/>
        </w:rPr>
      </w:pPr>
      <w:r>
        <w:rPr>
          <w:rFonts w:hint="eastAsia" w:ascii="仿宋" w:hAnsi="仿宋" w:eastAsia="仿宋"/>
          <w:sz w:val="24"/>
        </w:rPr>
        <w:t>25.1 评委会将评标情况写出书面报告，推荐中标候选人，并按照综合得分高低标明排列顺序。综合得分相同的，按投标报价由低到高顺序排列。得分且投标报价相同的，按技术指标优劣顺序排列。</w:t>
      </w:r>
    </w:p>
    <w:p>
      <w:pPr>
        <w:spacing w:line="400" w:lineRule="exact"/>
        <w:ind w:firstLine="420" w:firstLineChars="175"/>
        <w:rPr>
          <w:rFonts w:ascii="仿宋" w:hAnsi="仿宋" w:eastAsia="仿宋"/>
          <w:sz w:val="24"/>
        </w:rPr>
      </w:pPr>
      <w:r>
        <w:rPr>
          <w:rFonts w:hint="eastAsia" w:ascii="仿宋" w:hAnsi="仿宋" w:eastAsia="仿宋"/>
          <w:sz w:val="24"/>
        </w:rPr>
        <w:t>25</w:t>
      </w:r>
      <w:r>
        <w:rPr>
          <w:rFonts w:ascii="仿宋" w:hAnsi="仿宋" w:eastAsia="仿宋"/>
          <w:sz w:val="24"/>
        </w:rPr>
        <w:t>.</w:t>
      </w:r>
      <w:r>
        <w:rPr>
          <w:rFonts w:hint="eastAsia" w:ascii="仿宋" w:hAnsi="仿宋" w:eastAsia="仿宋"/>
          <w:sz w:val="24"/>
        </w:rPr>
        <w:t>2 招标人在完成评标报告后五个工作日内，按照评标报告中推荐的中标候选人顺序确定中标人。</w:t>
      </w:r>
    </w:p>
    <w:p>
      <w:pPr>
        <w:spacing w:line="400" w:lineRule="exact"/>
        <w:ind w:firstLine="420" w:firstLineChars="175"/>
        <w:rPr>
          <w:rFonts w:ascii="仿宋" w:hAnsi="仿宋" w:eastAsia="仿宋"/>
          <w:sz w:val="24"/>
        </w:rPr>
      </w:pPr>
      <w:r>
        <w:rPr>
          <w:rFonts w:hint="eastAsia" w:ascii="仿宋" w:hAnsi="仿宋" w:eastAsia="仿宋"/>
          <w:sz w:val="24"/>
        </w:rPr>
        <w:t>25</w:t>
      </w:r>
      <w:r>
        <w:rPr>
          <w:rFonts w:ascii="仿宋" w:hAnsi="仿宋" w:eastAsia="仿宋"/>
          <w:sz w:val="24"/>
        </w:rPr>
        <w:t>.</w:t>
      </w:r>
      <w:r>
        <w:rPr>
          <w:rFonts w:hint="eastAsia" w:ascii="仿宋" w:hAnsi="仿宋" w:eastAsia="仿宋"/>
          <w:sz w:val="24"/>
        </w:rPr>
        <w:t>4根据招标人确定的中标人，已邮件形式和电话通知中标结果。</w:t>
      </w:r>
    </w:p>
    <w:p>
      <w:pPr>
        <w:spacing w:line="400" w:lineRule="exact"/>
        <w:ind w:firstLine="420" w:firstLineChars="175"/>
        <w:rPr>
          <w:rFonts w:ascii="仿宋" w:hAnsi="仿宋" w:eastAsia="仿宋"/>
          <w:sz w:val="24"/>
        </w:rPr>
      </w:pPr>
      <w:r>
        <w:rPr>
          <w:rFonts w:hint="eastAsia" w:ascii="仿宋" w:hAnsi="仿宋" w:eastAsia="仿宋"/>
          <w:sz w:val="24"/>
        </w:rPr>
        <w:t>25</w:t>
      </w:r>
      <w:r>
        <w:rPr>
          <w:rFonts w:ascii="仿宋" w:hAnsi="仿宋" w:eastAsia="仿宋"/>
          <w:sz w:val="24"/>
        </w:rPr>
        <w:t>.</w:t>
      </w:r>
      <w:r>
        <w:rPr>
          <w:rFonts w:hint="eastAsia" w:ascii="仿宋" w:hAnsi="仿宋" w:eastAsia="仿宋"/>
          <w:sz w:val="24"/>
        </w:rPr>
        <w:t>5 招标采购单位不解释中标或落标原因，不退回投标文件和其他投标资料。</w:t>
      </w:r>
    </w:p>
    <w:p>
      <w:pPr>
        <w:pStyle w:val="4"/>
        <w:spacing w:line="400" w:lineRule="exact"/>
        <w:ind w:firstLine="482" w:firstLineChars="200"/>
        <w:rPr>
          <w:rFonts w:ascii="仿宋" w:hAnsi="仿宋" w:eastAsia="仿宋"/>
          <w:bCs/>
          <w:sz w:val="24"/>
        </w:rPr>
      </w:pPr>
      <w:bookmarkStart w:id="136" w:name="_Toc183582238"/>
      <w:bookmarkStart w:id="137" w:name="_Toc183682375"/>
      <w:bookmarkStart w:id="138" w:name="_Toc217446063"/>
      <w:r>
        <w:rPr>
          <w:rFonts w:hint="eastAsia" w:ascii="仿宋" w:hAnsi="仿宋" w:eastAsia="仿宋"/>
          <w:bCs/>
          <w:sz w:val="24"/>
        </w:rPr>
        <w:t>26．中标通知</w:t>
      </w:r>
      <w:bookmarkEnd w:id="136"/>
      <w:bookmarkEnd w:id="137"/>
      <w:r>
        <w:rPr>
          <w:rFonts w:hint="eastAsia" w:ascii="仿宋" w:hAnsi="仿宋" w:eastAsia="仿宋"/>
          <w:bCs/>
          <w:sz w:val="24"/>
        </w:rPr>
        <w:t>书</w:t>
      </w:r>
      <w:bookmarkEnd w:id="138"/>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26</w:t>
      </w:r>
      <w:r>
        <w:rPr>
          <w:rFonts w:ascii="仿宋" w:hAnsi="仿宋" w:eastAsia="仿宋"/>
          <w:b/>
          <w:bCs/>
          <w:sz w:val="24"/>
        </w:rPr>
        <w:t>.</w:t>
      </w:r>
      <w:r>
        <w:rPr>
          <w:rFonts w:hint="eastAsia" w:ascii="仿宋" w:hAnsi="仿宋" w:eastAsia="仿宋"/>
          <w:sz w:val="24"/>
        </w:rPr>
        <w:t>1 中标通知书为签订采购合同的依据，是合同的有效组成部分。</w:t>
      </w:r>
    </w:p>
    <w:p>
      <w:pPr>
        <w:tabs>
          <w:tab w:val="left" w:pos="7665"/>
        </w:tabs>
        <w:spacing w:line="400" w:lineRule="exact"/>
        <w:ind w:firstLine="480"/>
        <w:rPr>
          <w:rFonts w:ascii="仿宋" w:hAnsi="仿宋" w:eastAsia="仿宋"/>
          <w:sz w:val="24"/>
        </w:rPr>
      </w:pPr>
      <w:r>
        <w:rPr>
          <w:rFonts w:hint="eastAsia" w:ascii="仿宋" w:hAnsi="仿宋" w:eastAsia="仿宋"/>
          <w:sz w:val="24"/>
        </w:rPr>
        <w:t>26.2 中标通知书对招标人和中标人均具有法律效力。中标通知书发出后，招标人改变中标结果，或者中标人无正当理由放弃中标的，应当承担相应的法律责任。</w:t>
      </w:r>
    </w:p>
    <w:p>
      <w:pPr>
        <w:tabs>
          <w:tab w:val="left" w:pos="7665"/>
        </w:tabs>
        <w:spacing w:line="400" w:lineRule="exact"/>
        <w:ind w:firstLine="480"/>
        <w:rPr>
          <w:rFonts w:ascii="仿宋" w:hAnsi="仿宋" w:eastAsia="仿宋"/>
          <w:sz w:val="24"/>
        </w:rPr>
      </w:pPr>
      <w:r>
        <w:rPr>
          <w:rFonts w:hint="eastAsia" w:ascii="仿宋" w:hAnsi="仿宋" w:eastAsia="仿宋"/>
          <w:sz w:val="24"/>
        </w:rPr>
        <w:t>26．3中标人的投标文件本应作为无效投标处理或者有招标采购法律法规规章制度规定的中标无效情形的，招标人在取得有权主体的认定以后，应当宣布发出的中标通知书无效，并收回发出的中标通知书（中标人也应当缴回），依法重新确定中标人或者重新开展采购活动。</w:t>
      </w:r>
    </w:p>
    <w:p>
      <w:pPr>
        <w:tabs>
          <w:tab w:val="left" w:pos="7665"/>
        </w:tabs>
        <w:spacing w:line="400" w:lineRule="exact"/>
        <w:jc w:val="center"/>
        <w:rPr>
          <w:rFonts w:ascii="仿宋" w:hAnsi="仿宋" w:eastAsia="仿宋"/>
          <w:b/>
          <w:sz w:val="28"/>
          <w:szCs w:val="28"/>
        </w:rPr>
      </w:pPr>
      <w:bookmarkStart w:id="139" w:name="_Toc217446064"/>
      <w:bookmarkStart w:id="140" w:name="_Toc183682377"/>
      <w:bookmarkStart w:id="141" w:name="_Toc183582240"/>
      <w:r>
        <w:rPr>
          <w:rFonts w:hint="eastAsia" w:ascii="仿宋" w:hAnsi="仿宋" w:eastAsia="仿宋"/>
          <w:b/>
          <w:sz w:val="28"/>
          <w:szCs w:val="28"/>
        </w:rPr>
        <w:t>六、签订及履行合同和验收</w:t>
      </w:r>
      <w:bookmarkEnd w:id="139"/>
    </w:p>
    <w:p>
      <w:pPr>
        <w:pStyle w:val="4"/>
        <w:spacing w:line="400" w:lineRule="exact"/>
        <w:ind w:firstLine="482" w:firstLineChars="200"/>
        <w:rPr>
          <w:rFonts w:ascii="仿宋" w:hAnsi="仿宋" w:eastAsia="仿宋"/>
          <w:bCs/>
          <w:sz w:val="24"/>
        </w:rPr>
      </w:pPr>
      <w:bookmarkStart w:id="142" w:name="_Toc217446065"/>
      <w:r>
        <w:rPr>
          <w:rFonts w:hint="eastAsia" w:ascii="仿宋" w:hAnsi="仿宋" w:eastAsia="仿宋"/>
          <w:bCs/>
          <w:sz w:val="24"/>
        </w:rPr>
        <w:t>27. 签订合同</w:t>
      </w:r>
      <w:bookmarkEnd w:id="142"/>
    </w:p>
    <w:p>
      <w:pPr>
        <w:spacing w:line="400" w:lineRule="exact"/>
        <w:ind w:firstLine="480" w:firstLineChars="200"/>
        <w:rPr>
          <w:rFonts w:ascii="仿宋" w:hAnsi="仿宋" w:eastAsia="仿宋"/>
          <w:sz w:val="24"/>
        </w:rPr>
      </w:pPr>
      <w:r>
        <w:rPr>
          <w:rFonts w:hint="eastAsia" w:ascii="仿宋" w:hAnsi="仿宋" w:eastAsia="仿宋"/>
          <w:sz w:val="24"/>
        </w:rPr>
        <w:t>27.1 中标人在收到招标人发出的《中标通知书》后，应在招标文件规定的时间内与招标人签订采购合同。由于中标人的原因逾期未与招标人签订采购合同的，将视为放弃中标，取消其中标资格并将按相关规定进行处理。</w:t>
      </w:r>
    </w:p>
    <w:p>
      <w:pPr>
        <w:spacing w:line="400" w:lineRule="exact"/>
        <w:ind w:firstLine="420" w:firstLineChars="175"/>
        <w:rPr>
          <w:rFonts w:ascii="仿宋" w:hAnsi="仿宋" w:eastAsia="仿宋"/>
          <w:sz w:val="24"/>
        </w:rPr>
      </w:pPr>
      <w:r>
        <w:rPr>
          <w:rFonts w:hint="eastAsia" w:ascii="仿宋" w:hAnsi="仿宋" w:eastAsia="仿宋"/>
          <w:sz w:val="24"/>
        </w:rPr>
        <w:t>27.2 招标人不得向中标人提出任何不合理的要求，作为签订合同的条件，不得与中标人私下订立背离合同实质性内容的任何协议，所签订的合同不得对招标文件和中标人投标文件作实质性修改。</w:t>
      </w:r>
    </w:p>
    <w:p>
      <w:pPr>
        <w:spacing w:line="400" w:lineRule="exact"/>
        <w:ind w:firstLine="420" w:firstLineChars="175"/>
        <w:rPr>
          <w:rFonts w:ascii="仿宋" w:hAnsi="仿宋" w:eastAsia="仿宋"/>
          <w:sz w:val="24"/>
        </w:rPr>
      </w:pPr>
      <w:r>
        <w:rPr>
          <w:rFonts w:hint="eastAsia" w:ascii="仿宋" w:hAnsi="仿宋" w:eastAsia="仿宋"/>
          <w:sz w:val="24"/>
        </w:rPr>
        <w:t>27.3 中标人因不可抗力原因不能履行采购合同或放弃中标的，招标人可以与排在中标人之后第一位的中标候选人签订采购合同，以此类推。</w:t>
      </w:r>
    </w:p>
    <w:p>
      <w:pPr>
        <w:pStyle w:val="4"/>
        <w:spacing w:line="400" w:lineRule="exact"/>
        <w:ind w:firstLine="482" w:firstLineChars="200"/>
        <w:rPr>
          <w:rFonts w:ascii="仿宋" w:hAnsi="仿宋" w:eastAsia="仿宋"/>
          <w:bCs/>
          <w:sz w:val="24"/>
        </w:rPr>
      </w:pPr>
      <w:bookmarkStart w:id="143" w:name="_Toc217446066"/>
      <w:r>
        <w:rPr>
          <w:rFonts w:hint="eastAsia" w:ascii="仿宋" w:hAnsi="仿宋" w:eastAsia="仿宋"/>
          <w:bCs/>
          <w:sz w:val="24"/>
        </w:rPr>
        <w:t>28. 合同分包</w:t>
      </w:r>
      <w:bookmarkEnd w:id="143"/>
    </w:p>
    <w:p>
      <w:pPr>
        <w:spacing w:line="400" w:lineRule="exact"/>
        <w:ind w:firstLine="480" w:firstLineChars="200"/>
        <w:rPr>
          <w:rFonts w:ascii="仿宋" w:hAnsi="仿宋" w:eastAsia="仿宋"/>
          <w:sz w:val="24"/>
        </w:rPr>
      </w:pPr>
      <w:r>
        <w:rPr>
          <w:rFonts w:hint="eastAsia" w:ascii="仿宋" w:hAnsi="仿宋" w:eastAsia="仿宋"/>
          <w:sz w:val="24"/>
        </w:rPr>
        <w:t>28.1 经招标人同意，中标人可以依法采取分包方式履行合同。这种要求应当在合同签订之前征得招标人同意，并且分包供应商履行的分包项目的品牌、规格型号及技术要求等，必须与中标的一致。</w:t>
      </w:r>
    </w:p>
    <w:p>
      <w:pPr>
        <w:spacing w:line="400" w:lineRule="exact"/>
        <w:ind w:firstLine="495"/>
        <w:rPr>
          <w:rFonts w:ascii="仿宋" w:hAnsi="仿宋" w:eastAsia="仿宋"/>
          <w:sz w:val="24"/>
        </w:rPr>
      </w:pPr>
      <w:r>
        <w:rPr>
          <w:rFonts w:hint="eastAsia" w:ascii="仿宋" w:hAnsi="仿宋" w:eastAsia="仿宋"/>
          <w:sz w:val="24"/>
        </w:rPr>
        <w:t>28.2 采购合同实行分包履行的，中标人就采购项目和分包项目向招标人负责，分包供应商就分包项目承担责任。</w:t>
      </w:r>
    </w:p>
    <w:p>
      <w:pPr>
        <w:pStyle w:val="4"/>
        <w:spacing w:line="400" w:lineRule="exact"/>
        <w:ind w:firstLine="482" w:firstLineChars="200"/>
        <w:rPr>
          <w:rFonts w:ascii="仿宋" w:hAnsi="仿宋" w:eastAsia="仿宋"/>
          <w:bCs/>
          <w:sz w:val="24"/>
        </w:rPr>
      </w:pPr>
      <w:bookmarkStart w:id="144" w:name="_Toc217446067"/>
      <w:r>
        <w:rPr>
          <w:rFonts w:hint="eastAsia" w:ascii="仿宋" w:hAnsi="仿宋" w:eastAsia="仿宋"/>
          <w:bCs/>
          <w:sz w:val="24"/>
        </w:rPr>
        <w:t>29. 招标人增加合同标的权</w:t>
      </w:r>
      <w:bookmarkEnd w:id="144"/>
      <w:r>
        <w:rPr>
          <w:rFonts w:hint="eastAsia" w:ascii="仿宋" w:hAnsi="仿宋" w:eastAsia="仿宋"/>
          <w:bCs/>
          <w:sz w:val="24"/>
        </w:rPr>
        <w:t>利</w:t>
      </w:r>
    </w:p>
    <w:p>
      <w:pPr>
        <w:spacing w:line="400" w:lineRule="exact"/>
        <w:ind w:firstLine="495"/>
        <w:rPr>
          <w:rFonts w:ascii="仿宋" w:hAnsi="仿宋" w:eastAsia="仿宋"/>
          <w:sz w:val="24"/>
        </w:rPr>
      </w:pPr>
      <w:r>
        <w:rPr>
          <w:rFonts w:hint="eastAsia" w:ascii="仿宋" w:hAnsi="仿宋" w:eastAsia="仿宋"/>
          <w:sz w:val="24"/>
        </w:rPr>
        <w:t>采购合同履行过程中，招标人需要追加与合同标的相同的货物或者服务的，在不改变合同其他条款的前提下，可以与中标供应商协商签订补充合同，但所有补充合同的采购金额不得超过原合同采购金额的百分之十。</w:t>
      </w:r>
    </w:p>
    <w:p>
      <w:pPr>
        <w:pStyle w:val="4"/>
        <w:spacing w:line="400" w:lineRule="exact"/>
        <w:ind w:firstLine="482" w:firstLineChars="200"/>
        <w:rPr>
          <w:rFonts w:ascii="仿宋" w:hAnsi="仿宋" w:eastAsia="仿宋"/>
          <w:bCs/>
          <w:sz w:val="24"/>
        </w:rPr>
      </w:pPr>
      <w:bookmarkStart w:id="145" w:name="_Toc217446069"/>
      <w:r>
        <w:rPr>
          <w:rFonts w:hint="eastAsia" w:ascii="仿宋" w:hAnsi="仿宋" w:eastAsia="仿宋"/>
          <w:bCs/>
          <w:sz w:val="24"/>
        </w:rPr>
        <w:t>30. 履行合同</w:t>
      </w:r>
      <w:bookmarkEnd w:id="145"/>
    </w:p>
    <w:p>
      <w:pPr>
        <w:spacing w:line="400" w:lineRule="exact"/>
        <w:rPr>
          <w:rFonts w:ascii="仿宋" w:hAnsi="仿宋" w:eastAsia="仿宋"/>
          <w:sz w:val="24"/>
        </w:rPr>
      </w:pPr>
      <w:r>
        <w:rPr>
          <w:rFonts w:hint="eastAsia" w:ascii="仿宋" w:hAnsi="仿宋" w:eastAsia="仿宋"/>
          <w:sz w:val="24"/>
        </w:rPr>
        <w:t xml:space="preserve">    30.1 中标人与招标人签订合同后，合同双方应严格执行合同条款，履行合同规定的义务，保证合同的顺利完成。</w:t>
      </w:r>
    </w:p>
    <w:p>
      <w:pPr>
        <w:spacing w:line="400" w:lineRule="exact"/>
        <w:rPr>
          <w:rFonts w:ascii="仿宋" w:hAnsi="仿宋" w:eastAsia="仿宋"/>
          <w:sz w:val="24"/>
        </w:rPr>
      </w:pPr>
      <w:r>
        <w:rPr>
          <w:rFonts w:hint="eastAsia" w:ascii="仿宋" w:hAnsi="仿宋" w:eastAsia="仿宋"/>
          <w:sz w:val="24"/>
        </w:rPr>
        <w:t xml:space="preserve">    30.2 在合同履行过程中，如发生合同纠纷，合同双方应按照《合同法》的有关规定进行处理。</w:t>
      </w:r>
    </w:p>
    <w:bookmarkEnd w:id="140"/>
    <w:bookmarkEnd w:id="141"/>
    <w:p>
      <w:pPr>
        <w:pStyle w:val="3"/>
        <w:spacing w:line="400" w:lineRule="exact"/>
        <w:jc w:val="center"/>
        <w:rPr>
          <w:rFonts w:ascii="仿宋" w:hAnsi="仿宋" w:eastAsia="仿宋"/>
          <w:szCs w:val="28"/>
        </w:rPr>
      </w:pPr>
      <w:bookmarkStart w:id="146" w:name="_Toc217446074"/>
      <w:bookmarkStart w:id="147" w:name="_Toc183682380"/>
      <w:bookmarkStart w:id="148" w:name="_Toc183582243"/>
      <w:r>
        <w:rPr>
          <w:rFonts w:hint="eastAsia" w:ascii="仿宋" w:hAnsi="仿宋" w:eastAsia="仿宋"/>
          <w:szCs w:val="28"/>
        </w:rPr>
        <w:t>七、投标纪律要求</w:t>
      </w:r>
      <w:bookmarkEnd w:id="146"/>
    </w:p>
    <w:p>
      <w:pPr>
        <w:pStyle w:val="4"/>
        <w:spacing w:line="400" w:lineRule="exact"/>
        <w:ind w:firstLine="482" w:firstLineChars="200"/>
        <w:rPr>
          <w:rFonts w:ascii="仿宋" w:hAnsi="仿宋" w:eastAsia="仿宋"/>
          <w:bCs/>
          <w:sz w:val="24"/>
          <w:szCs w:val="24"/>
        </w:rPr>
      </w:pPr>
      <w:bookmarkStart w:id="149" w:name="_Toc217446075"/>
      <w:r>
        <w:rPr>
          <w:rFonts w:hint="eastAsia" w:ascii="仿宋" w:hAnsi="仿宋" w:eastAsia="仿宋"/>
          <w:sz w:val="24"/>
        </w:rPr>
        <w:t xml:space="preserve">31. </w:t>
      </w:r>
      <w:r>
        <w:rPr>
          <w:rFonts w:hint="eastAsia" w:ascii="仿宋" w:hAnsi="仿宋" w:eastAsia="仿宋"/>
          <w:bCs/>
          <w:sz w:val="24"/>
          <w:szCs w:val="24"/>
        </w:rPr>
        <w:t>投标人不得具有的情形</w:t>
      </w:r>
      <w:bookmarkEnd w:id="149"/>
    </w:p>
    <w:p>
      <w:pPr>
        <w:pStyle w:val="7"/>
        <w:spacing w:line="400" w:lineRule="exact"/>
        <w:ind w:firstLine="480"/>
        <w:rPr>
          <w:rFonts w:ascii="仿宋" w:hAnsi="仿宋" w:eastAsia="仿宋"/>
          <w:sz w:val="24"/>
        </w:rPr>
      </w:pPr>
      <w:r>
        <w:rPr>
          <w:rFonts w:hint="eastAsia" w:ascii="仿宋" w:hAnsi="仿宋" w:eastAsia="仿宋"/>
          <w:sz w:val="24"/>
        </w:rPr>
        <w:t>投标人参加投标不得有下列情形：</w:t>
      </w:r>
    </w:p>
    <w:p>
      <w:pPr>
        <w:spacing w:line="400" w:lineRule="exact"/>
        <w:ind w:firstLine="460" w:firstLineChars="192"/>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）提供虚假材料谋取中标；</w:t>
      </w:r>
    </w:p>
    <w:p>
      <w:pPr>
        <w:spacing w:line="400" w:lineRule="exact"/>
        <w:ind w:firstLine="460" w:firstLineChars="192"/>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）采取不正当手段诋毁、排挤其他投标人；</w:t>
      </w:r>
    </w:p>
    <w:p>
      <w:pPr>
        <w:spacing w:line="400" w:lineRule="exact"/>
        <w:ind w:firstLine="480" w:firstLineChars="200"/>
        <w:rPr>
          <w:rFonts w:ascii="仿宋" w:hAnsi="仿宋" w:eastAsia="仿宋"/>
          <w:sz w:val="24"/>
        </w:rPr>
      </w:pPr>
      <w:r>
        <w:rPr>
          <w:rFonts w:hint="eastAsia" w:ascii="仿宋" w:hAnsi="仿宋" w:eastAsia="仿宋"/>
          <w:sz w:val="24"/>
        </w:rPr>
        <w:t>（3）与招标采购单位、其他投标人恶意串通；</w:t>
      </w:r>
    </w:p>
    <w:p>
      <w:pPr>
        <w:spacing w:line="400" w:lineRule="exact"/>
        <w:ind w:firstLine="338" w:firstLineChars="141"/>
        <w:rPr>
          <w:rFonts w:ascii="仿宋" w:hAnsi="仿宋" w:eastAsia="仿宋"/>
          <w:sz w:val="24"/>
        </w:rPr>
      </w:pPr>
      <w:r>
        <w:rPr>
          <w:rFonts w:hint="eastAsia" w:ascii="仿宋" w:hAnsi="仿宋" w:eastAsia="仿宋"/>
          <w:sz w:val="24"/>
        </w:rPr>
        <w:t xml:space="preserve"> （4）向招标采购单位、评标委员会成员行贿或者提供其他不正当利益；</w:t>
      </w:r>
    </w:p>
    <w:p>
      <w:pPr>
        <w:pStyle w:val="20"/>
        <w:tabs>
          <w:tab w:val="left" w:pos="720"/>
        </w:tabs>
        <w:spacing w:line="400" w:lineRule="exact"/>
        <w:ind w:firstLine="460" w:firstLineChars="192"/>
        <w:rPr>
          <w:rFonts w:ascii="仿宋" w:hAnsi="仿宋" w:eastAsia="仿宋"/>
          <w:sz w:val="24"/>
          <w:szCs w:val="24"/>
        </w:rPr>
      </w:pPr>
      <w:r>
        <w:rPr>
          <w:rFonts w:hint="eastAsia" w:ascii="仿宋" w:hAnsi="仿宋" w:eastAsia="仿宋"/>
          <w:sz w:val="24"/>
          <w:szCs w:val="24"/>
        </w:rPr>
        <w:t>（5）在招标过程中与招标采购单位进行协商谈判；</w:t>
      </w:r>
    </w:p>
    <w:p>
      <w:pPr>
        <w:pStyle w:val="20"/>
        <w:spacing w:line="400" w:lineRule="exact"/>
        <w:ind w:firstLine="480" w:firstLineChars="200"/>
        <w:rPr>
          <w:rFonts w:ascii="仿宋" w:hAnsi="仿宋" w:eastAsia="仿宋"/>
          <w:sz w:val="24"/>
          <w:szCs w:val="24"/>
        </w:rPr>
      </w:pPr>
      <w:r>
        <w:rPr>
          <w:rFonts w:hint="eastAsia" w:ascii="仿宋" w:hAnsi="仿宋" w:eastAsia="仿宋"/>
          <w:sz w:val="24"/>
          <w:szCs w:val="24"/>
        </w:rPr>
        <w:t>（6）拒绝有关部门的监督检查或者向监督检查部门提供虚假情况。</w:t>
      </w:r>
    </w:p>
    <w:p>
      <w:pPr>
        <w:pStyle w:val="7"/>
        <w:spacing w:line="400" w:lineRule="exact"/>
        <w:ind w:firstLine="480"/>
        <w:rPr>
          <w:rFonts w:ascii="仿宋" w:hAnsi="仿宋" w:eastAsia="仿宋"/>
          <w:sz w:val="24"/>
        </w:rPr>
      </w:pPr>
      <w:r>
        <w:rPr>
          <w:rFonts w:hint="eastAsia" w:ascii="仿宋" w:hAnsi="仿宋" w:eastAsia="仿宋"/>
          <w:sz w:val="24"/>
        </w:rPr>
        <w:t>有上述情形之一的投标人，属于不合格投标人，其投标或中标资格将被取消。</w:t>
      </w:r>
    </w:p>
    <w:p>
      <w:pPr>
        <w:pStyle w:val="7"/>
        <w:spacing w:line="400" w:lineRule="exact"/>
        <w:ind w:firstLine="480"/>
        <w:rPr>
          <w:rFonts w:ascii="仿宋" w:hAnsi="仿宋" w:eastAsia="仿宋"/>
          <w:sz w:val="24"/>
        </w:rPr>
      </w:pPr>
    </w:p>
    <w:p>
      <w:pPr>
        <w:pStyle w:val="7"/>
        <w:spacing w:line="400" w:lineRule="exact"/>
        <w:ind w:firstLine="480"/>
        <w:rPr>
          <w:rFonts w:ascii="仿宋" w:hAnsi="仿宋" w:eastAsia="仿宋"/>
          <w:sz w:val="24"/>
        </w:rPr>
      </w:pPr>
    </w:p>
    <w:bookmarkEnd w:id="147"/>
    <w:bookmarkEnd w:id="148"/>
    <w:p>
      <w:pPr>
        <w:pStyle w:val="2"/>
        <w:spacing w:line="240" w:lineRule="atLeast"/>
        <w:jc w:val="center"/>
        <w:rPr>
          <w:rFonts w:ascii="仿宋" w:hAnsi="仿宋" w:eastAsia="仿宋"/>
          <w:bCs w:val="0"/>
          <w:sz w:val="36"/>
        </w:rPr>
        <w:sectPr>
          <w:pgSz w:w="11907" w:h="16840"/>
          <w:pgMar w:top="1440" w:right="1474" w:bottom="1440" w:left="1474" w:header="851" w:footer="992" w:gutter="0"/>
          <w:cols w:space="720" w:num="1"/>
          <w:docGrid w:linePitch="312" w:charSpace="0"/>
        </w:sectPr>
      </w:pPr>
      <w:bookmarkStart w:id="150" w:name="_Toc217446081"/>
    </w:p>
    <w:p>
      <w:pPr>
        <w:pStyle w:val="2"/>
        <w:spacing w:line="240" w:lineRule="atLeast"/>
        <w:jc w:val="center"/>
        <w:rPr>
          <w:rFonts w:ascii="仿宋" w:hAnsi="仿宋" w:eastAsia="仿宋"/>
          <w:bCs w:val="0"/>
          <w:sz w:val="36"/>
        </w:rPr>
      </w:pPr>
      <w:bookmarkStart w:id="151" w:name="_Toc375898985"/>
      <w:r>
        <w:rPr>
          <w:rFonts w:hint="eastAsia" w:ascii="仿宋" w:hAnsi="仿宋" w:eastAsia="仿宋"/>
          <w:bCs w:val="0"/>
          <w:sz w:val="36"/>
        </w:rPr>
        <w:t>第三章 投标文件格式</w:t>
      </w:r>
      <w:bookmarkEnd w:id="150"/>
      <w:bookmarkEnd w:id="151"/>
    </w:p>
    <w:p>
      <w:pPr>
        <w:pStyle w:val="3"/>
        <w:spacing w:line="400" w:lineRule="exact"/>
        <w:rPr>
          <w:rFonts w:ascii="仿宋" w:hAnsi="仿宋" w:eastAsia="仿宋"/>
          <w:szCs w:val="28"/>
        </w:rPr>
      </w:pPr>
      <w:bookmarkStart w:id="152" w:name="_Toc217446082"/>
      <w:r>
        <w:rPr>
          <w:rFonts w:hint="eastAsia" w:ascii="仿宋" w:hAnsi="仿宋" w:eastAsia="仿宋"/>
          <w:szCs w:val="28"/>
        </w:rPr>
        <w:t>一、投 标 函</w:t>
      </w:r>
      <w:bookmarkEnd w:id="152"/>
    </w:p>
    <w:p>
      <w:pPr>
        <w:pStyle w:val="20"/>
        <w:spacing w:line="400" w:lineRule="exact"/>
        <w:ind w:firstLine="0"/>
        <w:rPr>
          <w:rFonts w:ascii="仿宋" w:hAnsi="仿宋" w:eastAsia="仿宋"/>
          <w:bCs/>
          <w:sz w:val="24"/>
          <w:szCs w:val="24"/>
          <w:u w:val="single"/>
        </w:rPr>
      </w:pPr>
      <w:r>
        <w:rPr>
          <w:rFonts w:hint="eastAsia" w:ascii="仿宋" w:hAnsi="仿宋" w:eastAsia="仿宋"/>
          <w:bCs/>
          <w:sz w:val="24"/>
          <w:szCs w:val="24"/>
          <w:u w:val="single"/>
        </w:rPr>
        <w:t>重庆交通职业学院</w:t>
      </w:r>
      <w:r>
        <w:rPr>
          <w:rFonts w:hint="eastAsia" w:ascii="仿宋" w:hAnsi="仿宋" w:eastAsia="仿宋"/>
          <w:bCs/>
          <w:sz w:val="24"/>
          <w:szCs w:val="24"/>
        </w:rPr>
        <w:t>：</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我方全面研究了 “</w:t>
      </w:r>
      <w:r>
        <w:rPr>
          <w:rFonts w:hint="eastAsia" w:ascii="仿宋" w:hAnsi="仿宋" w:eastAsia="仿宋"/>
          <w:b/>
          <w:sz w:val="24"/>
          <w:szCs w:val="24"/>
          <w:u w:val="single"/>
        </w:rPr>
        <w:t>AI视频监控系统服务器采购项目</w:t>
      </w:r>
      <w:r>
        <w:rPr>
          <w:rFonts w:hint="eastAsia" w:ascii="仿宋" w:hAnsi="仿宋" w:eastAsia="仿宋"/>
          <w:bCs/>
          <w:sz w:val="24"/>
          <w:szCs w:val="24"/>
        </w:rPr>
        <w:t>”招标文件（招标编号），决定参加贵单位组织的本项目投标。</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我方授权</w:t>
      </w:r>
      <w:r>
        <w:rPr>
          <w:rFonts w:hint="eastAsia" w:ascii="仿宋" w:hAnsi="仿宋" w:eastAsia="仿宋"/>
          <w:bCs/>
          <w:sz w:val="24"/>
          <w:szCs w:val="24"/>
          <w:u w:val="single"/>
        </w:rPr>
        <w:t xml:space="preserve">            </w:t>
      </w:r>
      <w:r>
        <w:rPr>
          <w:rFonts w:hint="eastAsia" w:ascii="仿宋" w:hAnsi="仿宋" w:eastAsia="仿宋"/>
          <w:bCs/>
          <w:sz w:val="24"/>
          <w:szCs w:val="24"/>
        </w:rPr>
        <w:t>（姓名、职务）代表我方（投标单位的名称）全权处理本项目投标的有关事宜。</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1、我方自愿按照招标文件规定的各项要求向招标人提供所需货物/服务，总投标价为人民币</w:t>
      </w:r>
      <w:r>
        <w:rPr>
          <w:rFonts w:hint="eastAsia" w:ascii="仿宋" w:hAnsi="仿宋" w:eastAsia="仿宋"/>
          <w:bCs/>
          <w:sz w:val="24"/>
          <w:szCs w:val="24"/>
          <w:u w:val="single"/>
        </w:rPr>
        <w:t xml:space="preserve">        </w:t>
      </w:r>
      <w:r>
        <w:rPr>
          <w:rFonts w:hint="eastAsia" w:ascii="仿宋" w:hAnsi="仿宋" w:eastAsia="仿宋"/>
          <w:bCs/>
          <w:sz w:val="24"/>
          <w:szCs w:val="24"/>
        </w:rPr>
        <w:t>万元（大写：   ）。</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2、一旦我方中标，我方将严格履行合同规定的责任和义务，保证于合同签字生效后日内完成项目的安装、调试，并交付招标人验收、使用。</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3、我方同意按照招标文件的要求，向贵单位交纳人民币</w:t>
      </w:r>
      <w:r>
        <w:rPr>
          <w:rFonts w:hint="eastAsia" w:ascii="仿宋" w:hAnsi="仿宋" w:eastAsia="仿宋"/>
          <w:bCs/>
          <w:sz w:val="24"/>
          <w:szCs w:val="24"/>
          <w:u w:val="single"/>
        </w:rPr>
        <w:t xml:space="preserve">    /    </w:t>
      </w:r>
      <w:r>
        <w:rPr>
          <w:rFonts w:hint="eastAsia" w:ascii="仿宋" w:hAnsi="仿宋" w:eastAsia="仿宋"/>
          <w:bCs/>
          <w:sz w:val="24"/>
          <w:szCs w:val="24"/>
        </w:rPr>
        <w:t>万元（大写：</w:t>
      </w:r>
      <w:r>
        <w:rPr>
          <w:rFonts w:hint="eastAsia" w:ascii="仿宋" w:hAnsi="仿宋" w:eastAsia="仿宋"/>
          <w:bCs/>
          <w:sz w:val="24"/>
          <w:szCs w:val="24"/>
          <w:u w:val="single"/>
        </w:rPr>
        <w:t xml:space="preserve">      /   </w:t>
      </w:r>
      <w:r>
        <w:rPr>
          <w:rFonts w:hint="eastAsia" w:ascii="仿宋" w:hAnsi="仿宋" w:eastAsia="仿宋"/>
          <w:bCs/>
          <w:sz w:val="24"/>
          <w:szCs w:val="24"/>
        </w:rPr>
        <w:t>）的投标保证金。并承诺：下列任何情况发生时，我方将不要求退还投标保证金：</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（1）如果我方在投标有效期内撤回投标；</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（2）我方提供了虚假响应招标文件的投标文件；</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（3）在投标过程中有违规违纪行为；</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（4）我方在投标有效期内收到中标通知书后，由于我方原因未能按照招标文件要求提交履约保证金或与招标人签订并履行合同。</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4、我方为本项目提交的投标文件正本1份，副本</w:t>
      </w:r>
      <w:r>
        <w:rPr>
          <w:rFonts w:hint="eastAsia" w:ascii="仿宋" w:hAnsi="仿宋" w:eastAsia="仿宋"/>
          <w:sz w:val="24"/>
          <w:szCs w:val="24"/>
        </w:rPr>
        <w:t>2</w:t>
      </w:r>
      <w:r>
        <w:rPr>
          <w:rFonts w:hint="eastAsia" w:ascii="仿宋" w:hAnsi="仿宋" w:eastAsia="仿宋"/>
          <w:bCs/>
          <w:sz w:val="24"/>
          <w:szCs w:val="24"/>
        </w:rPr>
        <w:t>份，电子文档（光盘或U盘）1份，用于开标唱标的“开标一览表”一式一份。</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5、我方承诺投标有效期为开标后 60天（日历日）。</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6、我方愿意提供贵校可能另外要求的，与投标有关的文件资料，并保证我方已提供和将要提供的文件资料是真实、准确的。</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7、我方完全理解招标人不一定将合同授予最低报价的投标人的行为。</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投标人名称：        （盖章）</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法定代表人或授权代表（签字）：</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通讯地址：</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邮政编码：</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联系电话：</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传    真：</w:t>
      </w:r>
    </w:p>
    <w:p>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日    期：</w:t>
      </w:r>
      <w:bookmarkStart w:id="153" w:name="_Toc217446083"/>
    </w:p>
    <w:p>
      <w:pPr>
        <w:pStyle w:val="3"/>
        <w:spacing w:line="400" w:lineRule="exact"/>
        <w:jc w:val="center"/>
        <w:rPr>
          <w:rFonts w:ascii="仿宋" w:hAnsi="仿宋" w:eastAsia="仿宋"/>
          <w:szCs w:val="28"/>
        </w:rPr>
      </w:pPr>
      <w:r>
        <w:rPr>
          <w:rFonts w:hint="eastAsia" w:ascii="仿宋" w:hAnsi="仿宋" w:eastAsia="仿宋"/>
          <w:szCs w:val="28"/>
        </w:rPr>
        <w:t>二、法定代表人授权书</w:t>
      </w:r>
      <w:bookmarkEnd w:id="153"/>
      <w:r>
        <w:rPr>
          <w:rFonts w:hint="eastAsia" w:ascii="仿宋" w:hAnsi="仿宋" w:eastAsia="仿宋"/>
          <w:szCs w:val="28"/>
        </w:rPr>
        <w:t>（非法定代表人投标）</w:t>
      </w:r>
    </w:p>
    <w:p>
      <w:pPr>
        <w:spacing w:line="400" w:lineRule="exact"/>
        <w:jc w:val="center"/>
        <w:rPr>
          <w:rFonts w:ascii="仿宋" w:hAnsi="仿宋" w:eastAsia="仿宋"/>
          <w:b/>
          <w:sz w:val="44"/>
        </w:rPr>
      </w:pPr>
    </w:p>
    <w:p>
      <w:pPr>
        <w:spacing w:line="400" w:lineRule="exact"/>
        <w:rPr>
          <w:rFonts w:ascii="仿宋" w:hAnsi="仿宋" w:eastAsia="仿宋"/>
          <w:sz w:val="24"/>
        </w:rPr>
      </w:pPr>
      <w:r>
        <w:rPr>
          <w:rFonts w:hint="eastAsia" w:ascii="仿宋" w:hAnsi="仿宋" w:eastAsia="仿宋"/>
          <w:bCs/>
          <w:sz w:val="24"/>
          <w:u w:val="single"/>
        </w:rPr>
        <w:t>重庆交通职业学院</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本授权声明：（投标人名称）（法定代表人姓名、职务）授权（被授权人姓名、职务）为我方 “</w:t>
      </w:r>
      <w:r>
        <w:rPr>
          <w:rFonts w:hint="eastAsia" w:ascii="仿宋" w:hAnsi="仿宋" w:eastAsia="仿宋"/>
          <w:b/>
          <w:sz w:val="24"/>
          <w:szCs w:val="24"/>
          <w:u w:val="single"/>
        </w:rPr>
        <w:t>AI视频监控系统服务器采购项目</w:t>
      </w:r>
      <w:r>
        <w:rPr>
          <w:rFonts w:hint="eastAsia" w:ascii="仿宋" w:hAnsi="仿宋" w:eastAsia="仿宋"/>
          <w:sz w:val="24"/>
        </w:rPr>
        <w:t xml:space="preserve"> ” （招标编号）投标活动的合法代表，以我方名义全权处理该项目有关投标、签订合同以及执行合同等一切事宜。</w:t>
      </w:r>
    </w:p>
    <w:p>
      <w:pPr>
        <w:spacing w:line="400" w:lineRule="exact"/>
        <w:ind w:firstLine="480" w:firstLineChars="200"/>
        <w:rPr>
          <w:rFonts w:ascii="仿宋" w:hAnsi="仿宋" w:eastAsia="仿宋"/>
          <w:sz w:val="24"/>
        </w:rPr>
      </w:pPr>
      <w:r>
        <w:rPr>
          <w:rFonts w:hint="eastAsia" w:ascii="仿宋" w:hAnsi="仿宋" w:eastAsia="仿宋"/>
          <w:sz w:val="24"/>
        </w:rPr>
        <w:t>特此声明。</w:t>
      </w: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法定代表人签字：</w:t>
      </w:r>
    </w:p>
    <w:p>
      <w:pPr>
        <w:spacing w:line="400" w:lineRule="exact"/>
        <w:ind w:firstLine="480" w:firstLineChars="200"/>
        <w:rPr>
          <w:rFonts w:ascii="仿宋" w:hAnsi="仿宋" w:eastAsia="仿宋"/>
          <w:sz w:val="24"/>
        </w:rPr>
      </w:pPr>
      <w:r>
        <w:rPr>
          <w:rFonts w:hint="eastAsia" w:ascii="仿宋" w:hAnsi="仿宋" w:eastAsia="仿宋"/>
          <w:sz w:val="24"/>
        </w:rPr>
        <w:t>授权代表签字：</w:t>
      </w:r>
    </w:p>
    <w:p>
      <w:pPr>
        <w:spacing w:line="400" w:lineRule="exact"/>
        <w:ind w:firstLine="480" w:firstLineChars="200"/>
        <w:rPr>
          <w:rFonts w:ascii="仿宋" w:hAnsi="仿宋" w:eastAsia="仿宋"/>
          <w:sz w:val="24"/>
        </w:rPr>
      </w:pPr>
      <w:r>
        <w:rPr>
          <w:rFonts w:hint="eastAsia" w:ascii="仿宋" w:hAnsi="仿宋" w:eastAsia="仿宋"/>
          <w:sz w:val="24"/>
        </w:rPr>
        <w:t>投标人名称：         （盖章）</w:t>
      </w:r>
    </w:p>
    <w:p>
      <w:pPr>
        <w:spacing w:line="400" w:lineRule="exact"/>
        <w:ind w:firstLine="480" w:firstLineChars="200"/>
        <w:rPr>
          <w:rFonts w:ascii="仿宋" w:hAnsi="仿宋" w:eastAsia="仿宋"/>
          <w:sz w:val="24"/>
        </w:rPr>
      </w:pPr>
      <w:r>
        <w:rPr>
          <w:rFonts w:hint="eastAsia" w:ascii="仿宋" w:hAnsi="仿宋" w:eastAsia="仿宋"/>
          <w:sz w:val="24"/>
        </w:rPr>
        <w:t>日    期：</w:t>
      </w:r>
    </w:p>
    <w:p>
      <w:pPr>
        <w:spacing w:line="400" w:lineRule="exact"/>
        <w:rPr>
          <w:rFonts w:ascii="仿宋" w:hAnsi="仿宋" w:eastAsia="仿宋"/>
          <w:sz w:val="32"/>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rPr>
          <w:rFonts w:ascii="仿宋" w:hAnsi="仿宋"/>
        </w:rPr>
      </w:pPr>
    </w:p>
    <w:p>
      <w:pPr>
        <w:rPr>
          <w:rFonts w:ascii="仿宋" w:hAnsi="仿宋" w:eastAsia="仿宋"/>
        </w:rPr>
      </w:pPr>
      <w:bookmarkStart w:id="154" w:name="_Toc217446084"/>
    </w:p>
    <w:p>
      <w:pPr>
        <w:rPr>
          <w:rFonts w:ascii="仿宋" w:hAnsi="仿宋" w:eastAsia="仿宋"/>
        </w:rPr>
      </w:pPr>
    </w:p>
    <w:p>
      <w:pPr>
        <w:rPr>
          <w:rFonts w:ascii="仿宋" w:hAnsi="仿宋" w:eastAsia="仿宋"/>
        </w:rPr>
      </w:pPr>
    </w:p>
    <w:p>
      <w:pPr>
        <w:rPr>
          <w:rFonts w:ascii="仿宋" w:hAnsi="仿宋" w:eastAsia="仿宋"/>
        </w:rPr>
      </w:pPr>
    </w:p>
    <w:bookmarkEnd w:id="100"/>
    <w:bookmarkEnd w:id="154"/>
    <w:p>
      <w:pPr>
        <w:spacing w:line="400" w:lineRule="exact"/>
        <w:rPr>
          <w:rFonts w:ascii="仿宋" w:hAnsi="仿宋"/>
          <w:sz w:val="32"/>
        </w:rPr>
      </w:pPr>
    </w:p>
    <w:p>
      <w:pPr>
        <w:spacing w:line="400" w:lineRule="exact"/>
        <w:outlineLvl w:val="1"/>
        <w:rPr>
          <w:rFonts w:ascii="仿宋" w:hAnsi="仿宋"/>
          <w:b/>
          <w:sz w:val="32"/>
        </w:rPr>
      </w:pPr>
      <w:bookmarkStart w:id="155" w:name="_Toc217446085"/>
    </w:p>
    <w:p>
      <w:pPr>
        <w:spacing w:line="400" w:lineRule="exact"/>
        <w:outlineLvl w:val="1"/>
        <w:rPr>
          <w:rFonts w:ascii="仿宋" w:hAnsi="仿宋"/>
          <w:b/>
          <w:sz w:val="32"/>
        </w:rPr>
      </w:pPr>
    </w:p>
    <w:p>
      <w:pPr>
        <w:pStyle w:val="3"/>
        <w:spacing w:line="400" w:lineRule="exact"/>
        <w:jc w:val="center"/>
        <w:rPr>
          <w:rFonts w:ascii="仿宋" w:hAnsi="仿宋" w:eastAsia="仿宋"/>
          <w:bCs w:val="0"/>
          <w:szCs w:val="28"/>
        </w:rPr>
      </w:pPr>
      <w:r>
        <w:rPr>
          <w:rFonts w:hint="eastAsia" w:ascii="仿宋" w:hAnsi="仿宋" w:eastAsia="仿宋"/>
          <w:bCs w:val="0"/>
          <w:szCs w:val="28"/>
        </w:rPr>
        <w:t>三、开标一览表</w:t>
      </w:r>
      <w:bookmarkEnd w:id="155"/>
    </w:p>
    <w:p>
      <w:pPr>
        <w:spacing w:line="400" w:lineRule="exact"/>
        <w:rPr>
          <w:rFonts w:ascii="仿宋" w:hAnsi="仿宋" w:eastAsia="仿宋"/>
          <w:sz w:val="28"/>
        </w:rPr>
      </w:pPr>
    </w:p>
    <w:p>
      <w:pPr>
        <w:spacing w:line="360" w:lineRule="auto"/>
        <w:rPr>
          <w:rFonts w:ascii="仿宋" w:hAnsi="仿宋" w:eastAsia="仿宋"/>
          <w:sz w:val="28"/>
        </w:rPr>
      </w:pPr>
      <w:bookmarkStart w:id="156" w:name="PO_默认文件内容_9"/>
      <w:r>
        <w:rPr>
          <w:rFonts w:hint="eastAsia" w:ascii="仿宋" w:hAnsi="仿宋" w:eastAsia="仿宋"/>
          <w:sz w:val="28"/>
        </w:rPr>
        <w:t xml:space="preserve">招标编号：  </w:t>
      </w:r>
    </w:p>
    <w:p>
      <w:pPr>
        <w:spacing w:line="360" w:lineRule="auto"/>
        <w:rPr>
          <w:rFonts w:ascii="仿宋" w:hAnsi="仿宋" w:eastAsia="仿宋"/>
          <w:sz w:val="28"/>
        </w:rPr>
      </w:pPr>
      <w:r>
        <w:rPr>
          <w:rFonts w:hint="eastAsia" w:ascii="仿宋" w:hAnsi="仿宋" w:eastAsia="仿宋"/>
          <w:sz w:val="28"/>
        </w:rPr>
        <w:t xml:space="preserve">包号：                                       </w:t>
      </w:r>
    </w:p>
    <w:tbl>
      <w:tblPr>
        <w:tblStyle w:val="31"/>
        <w:tblW w:w="1018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26"/>
        <w:gridCol w:w="1619"/>
        <w:gridCol w:w="840"/>
        <w:gridCol w:w="1260"/>
        <w:gridCol w:w="1438"/>
        <w:gridCol w:w="150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vAlign w:val="center"/>
          </w:tcPr>
          <w:p>
            <w:pPr>
              <w:spacing w:line="400" w:lineRule="exact"/>
              <w:jc w:val="center"/>
              <w:rPr>
                <w:rFonts w:ascii="仿宋" w:hAnsi="仿宋" w:eastAsia="仿宋"/>
                <w:sz w:val="24"/>
              </w:rPr>
            </w:pPr>
            <w:r>
              <w:rPr>
                <w:rFonts w:hint="eastAsia" w:ascii="仿宋" w:hAnsi="仿宋" w:eastAsia="仿宋"/>
                <w:sz w:val="24"/>
              </w:rPr>
              <w:t>序号</w:t>
            </w:r>
          </w:p>
        </w:tc>
        <w:tc>
          <w:tcPr>
            <w:tcW w:w="1426" w:type="dxa"/>
            <w:vAlign w:val="center"/>
          </w:tcPr>
          <w:p>
            <w:pPr>
              <w:spacing w:line="400" w:lineRule="exact"/>
              <w:jc w:val="center"/>
              <w:rPr>
                <w:rFonts w:ascii="仿宋" w:hAnsi="仿宋" w:eastAsia="仿宋"/>
                <w:sz w:val="24"/>
              </w:rPr>
            </w:pPr>
            <w:r>
              <w:rPr>
                <w:rFonts w:hint="eastAsia" w:ascii="仿宋" w:hAnsi="仿宋" w:eastAsia="仿宋"/>
                <w:sz w:val="24"/>
              </w:rPr>
              <w:t>设备名称</w:t>
            </w:r>
          </w:p>
        </w:tc>
        <w:tc>
          <w:tcPr>
            <w:tcW w:w="1619" w:type="dxa"/>
            <w:vAlign w:val="center"/>
          </w:tcPr>
          <w:p>
            <w:pPr>
              <w:spacing w:line="400" w:lineRule="exact"/>
              <w:jc w:val="center"/>
              <w:rPr>
                <w:rFonts w:ascii="仿宋" w:hAnsi="仿宋" w:eastAsia="仿宋"/>
                <w:sz w:val="24"/>
              </w:rPr>
            </w:pPr>
            <w:r>
              <w:rPr>
                <w:rFonts w:hint="eastAsia" w:ascii="仿宋" w:hAnsi="仿宋" w:eastAsia="仿宋"/>
                <w:sz w:val="24"/>
              </w:rPr>
              <w:t>制造商家及规格型号</w:t>
            </w:r>
          </w:p>
          <w:p>
            <w:pPr>
              <w:spacing w:line="400" w:lineRule="exact"/>
              <w:jc w:val="center"/>
              <w:rPr>
                <w:rFonts w:ascii="仿宋" w:hAnsi="仿宋" w:eastAsia="仿宋"/>
                <w:sz w:val="24"/>
              </w:rPr>
            </w:pPr>
            <w:r>
              <w:rPr>
                <w:rFonts w:hint="eastAsia" w:ascii="仿宋" w:hAnsi="仿宋" w:eastAsia="仿宋"/>
                <w:sz w:val="24"/>
              </w:rPr>
              <w:t>（中文）</w:t>
            </w:r>
          </w:p>
        </w:tc>
        <w:tc>
          <w:tcPr>
            <w:tcW w:w="840" w:type="dxa"/>
            <w:vAlign w:val="center"/>
          </w:tcPr>
          <w:p>
            <w:pPr>
              <w:spacing w:line="400" w:lineRule="exact"/>
              <w:jc w:val="center"/>
              <w:rPr>
                <w:rFonts w:ascii="仿宋" w:hAnsi="仿宋" w:eastAsia="仿宋"/>
                <w:sz w:val="24"/>
              </w:rPr>
            </w:pPr>
            <w:r>
              <w:rPr>
                <w:rFonts w:hint="eastAsia" w:ascii="仿宋" w:hAnsi="仿宋" w:eastAsia="仿宋"/>
                <w:sz w:val="24"/>
              </w:rPr>
              <w:t>数量</w:t>
            </w:r>
          </w:p>
        </w:tc>
        <w:tc>
          <w:tcPr>
            <w:tcW w:w="1260" w:type="dxa"/>
            <w:vAlign w:val="center"/>
          </w:tcPr>
          <w:p>
            <w:pPr>
              <w:spacing w:line="400" w:lineRule="exact"/>
              <w:rPr>
                <w:rFonts w:ascii="仿宋" w:hAnsi="仿宋" w:eastAsia="仿宋"/>
                <w:sz w:val="24"/>
              </w:rPr>
            </w:pPr>
            <w:r>
              <w:rPr>
                <w:rFonts w:hint="eastAsia" w:ascii="仿宋" w:hAnsi="仿宋" w:eastAsia="仿宋"/>
                <w:sz w:val="24"/>
              </w:rPr>
              <w:t>投标单价</w:t>
            </w:r>
          </w:p>
          <w:p>
            <w:pPr>
              <w:spacing w:line="400" w:lineRule="exact"/>
              <w:jc w:val="center"/>
              <w:rPr>
                <w:rFonts w:ascii="仿宋" w:hAnsi="仿宋" w:eastAsia="仿宋"/>
                <w:sz w:val="24"/>
              </w:rPr>
            </w:pPr>
            <w:r>
              <w:rPr>
                <w:rFonts w:hint="eastAsia" w:ascii="仿宋" w:hAnsi="仿宋" w:eastAsia="仿宋"/>
                <w:sz w:val="24"/>
              </w:rPr>
              <w:t>（万元）</w:t>
            </w:r>
          </w:p>
        </w:tc>
        <w:tc>
          <w:tcPr>
            <w:tcW w:w="1438" w:type="dxa"/>
            <w:vAlign w:val="center"/>
          </w:tcPr>
          <w:p>
            <w:pPr>
              <w:spacing w:line="400" w:lineRule="exact"/>
              <w:jc w:val="center"/>
              <w:rPr>
                <w:rFonts w:ascii="仿宋" w:hAnsi="仿宋" w:eastAsia="仿宋"/>
                <w:sz w:val="24"/>
              </w:rPr>
            </w:pPr>
            <w:r>
              <w:rPr>
                <w:rFonts w:hint="eastAsia" w:ascii="仿宋" w:hAnsi="仿宋" w:eastAsia="仿宋"/>
                <w:sz w:val="24"/>
              </w:rPr>
              <w:t>投标总价</w:t>
            </w:r>
          </w:p>
          <w:p>
            <w:pPr>
              <w:spacing w:line="400" w:lineRule="exact"/>
              <w:rPr>
                <w:rFonts w:ascii="仿宋" w:hAnsi="仿宋" w:eastAsia="仿宋"/>
                <w:sz w:val="24"/>
              </w:rPr>
            </w:pPr>
            <w:r>
              <w:rPr>
                <w:rFonts w:hint="eastAsia" w:ascii="仿宋" w:hAnsi="仿宋" w:eastAsia="仿宋"/>
                <w:sz w:val="24"/>
              </w:rPr>
              <w:t xml:space="preserve"> （万元）</w:t>
            </w:r>
          </w:p>
        </w:tc>
        <w:tc>
          <w:tcPr>
            <w:tcW w:w="1502" w:type="dxa"/>
            <w:vAlign w:val="center"/>
          </w:tcPr>
          <w:p>
            <w:pPr>
              <w:spacing w:line="400" w:lineRule="exact"/>
              <w:ind w:firstLine="120" w:firstLineChars="50"/>
              <w:rPr>
                <w:rFonts w:ascii="仿宋" w:hAnsi="仿宋" w:eastAsia="仿宋"/>
                <w:sz w:val="24"/>
              </w:rPr>
            </w:pPr>
            <w:r>
              <w:rPr>
                <w:rFonts w:hint="eastAsia" w:ascii="仿宋" w:hAnsi="仿宋" w:eastAsia="仿宋"/>
                <w:sz w:val="24"/>
              </w:rPr>
              <w:t>交货时间</w:t>
            </w:r>
          </w:p>
        </w:tc>
        <w:tc>
          <w:tcPr>
            <w:tcW w:w="1470" w:type="dxa"/>
            <w:vAlign w:val="center"/>
          </w:tcPr>
          <w:p>
            <w:pPr>
              <w:spacing w:line="40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tcPr>
          <w:p>
            <w:pPr>
              <w:spacing w:line="400" w:lineRule="exact"/>
              <w:jc w:val="center"/>
              <w:rPr>
                <w:rFonts w:ascii="仿宋" w:hAnsi="仿宋" w:eastAsia="仿宋"/>
                <w:sz w:val="44"/>
              </w:rPr>
            </w:pPr>
          </w:p>
        </w:tc>
        <w:tc>
          <w:tcPr>
            <w:tcW w:w="1426" w:type="dxa"/>
            <w:vAlign w:val="center"/>
          </w:tcPr>
          <w:p>
            <w:pPr>
              <w:spacing w:line="400" w:lineRule="exact"/>
              <w:jc w:val="center"/>
              <w:rPr>
                <w:rFonts w:ascii="仿宋" w:hAnsi="仿宋" w:eastAsia="仿宋"/>
                <w:sz w:val="28"/>
              </w:rPr>
            </w:pPr>
          </w:p>
        </w:tc>
        <w:tc>
          <w:tcPr>
            <w:tcW w:w="1619" w:type="dxa"/>
            <w:vAlign w:val="center"/>
          </w:tcPr>
          <w:p>
            <w:pPr>
              <w:spacing w:line="400" w:lineRule="exact"/>
              <w:jc w:val="center"/>
              <w:rPr>
                <w:rFonts w:ascii="仿宋" w:hAnsi="仿宋" w:eastAsia="仿宋"/>
                <w:sz w:val="28"/>
              </w:rPr>
            </w:pPr>
          </w:p>
        </w:tc>
        <w:tc>
          <w:tcPr>
            <w:tcW w:w="840" w:type="dxa"/>
            <w:vAlign w:val="center"/>
          </w:tcPr>
          <w:p>
            <w:pPr>
              <w:spacing w:line="400" w:lineRule="exact"/>
              <w:jc w:val="center"/>
              <w:rPr>
                <w:rFonts w:ascii="仿宋" w:hAnsi="仿宋" w:eastAsia="仿宋"/>
                <w:sz w:val="28"/>
              </w:rPr>
            </w:pPr>
          </w:p>
        </w:tc>
        <w:tc>
          <w:tcPr>
            <w:tcW w:w="1260" w:type="dxa"/>
            <w:vAlign w:val="center"/>
          </w:tcPr>
          <w:p>
            <w:pPr>
              <w:spacing w:line="400" w:lineRule="exact"/>
              <w:jc w:val="center"/>
              <w:rPr>
                <w:rFonts w:ascii="仿宋" w:hAnsi="仿宋" w:eastAsia="仿宋"/>
                <w:sz w:val="28"/>
              </w:rPr>
            </w:pPr>
          </w:p>
        </w:tc>
        <w:tc>
          <w:tcPr>
            <w:tcW w:w="1438" w:type="dxa"/>
            <w:vAlign w:val="center"/>
          </w:tcPr>
          <w:p>
            <w:pPr>
              <w:spacing w:line="400" w:lineRule="exact"/>
              <w:jc w:val="center"/>
              <w:rPr>
                <w:rFonts w:ascii="仿宋" w:hAnsi="仿宋" w:eastAsia="仿宋"/>
                <w:sz w:val="28"/>
              </w:rPr>
            </w:pPr>
          </w:p>
        </w:tc>
        <w:tc>
          <w:tcPr>
            <w:tcW w:w="1502" w:type="dxa"/>
            <w:vAlign w:val="center"/>
          </w:tcPr>
          <w:p>
            <w:pPr>
              <w:spacing w:line="400" w:lineRule="exact"/>
              <w:jc w:val="center"/>
              <w:rPr>
                <w:rFonts w:ascii="仿宋" w:hAnsi="仿宋" w:eastAsia="仿宋"/>
                <w:sz w:val="28"/>
              </w:rPr>
            </w:pPr>
          </w:p>
        </w:tc>
        <w:tc>
          <w:tcPr>
            <w:tcW w:w="1470" w:type="dxa"/>
            <w:vAlign w:val="center"/>
          </w:tcPr>
          <w:p>
            <w:pPr>
              <w:spacing w:line="4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tcPr>
          <w:p>
            <w:pPr>
              <w:spacing w:line="400" w:lineRule="exact"/>
              <w:jc w:val="center"/>
              <w:rPr>
                <w:rFonts w:ascii="仿宋" w:hAnsi="仿宋" w:eastAsia="仿宋"/>
                <w:sz w:val="44"/>
              </w:rPr>
            </w:pPr>
          </w:p>
        </w:tc>
        <w:tc>
          <w:tcPr>
            <w:tcW w:w="1426" w:type="dxa"/>
            <w:vAlign w:val="center"/>
          </w:tcPr>
          <w:p>
            <w:pPr>
              <w:spacing w:line="400" w:lineRule="exact"/>
              <w:jc w:val="center"/>
              <w:rPr>
                <w:rFonts w:ascii="仿宋" w:hAnsi="仿宋" w:eastAsia="仿宋"/>
                <w:sz w:val="28"/>
              </w:rPr>
            </w:pPr>
          </w:p>
        </w:tc>
        <w:tc>
          <w:tcPr>
            <w:tcW w:w="1619" w:type="dxa"/>
            <w:vAlign w:val="center"/>
          </w:tcPr>
          <w:p>
            <w:pPr>
              <w:spacing w:line="400" w:lineRule="exact"/>
              <w:jc w:val="center"/>
              <w:rPr>
                <w:rFonts w:ascii="仿宋" w:hAnsi="仿宋" w:eastAsia="仿宋"/>
                <w:sz w:val="28"/>
              </w:rPr>
            </w:pPr>
          </w:p>
        </w:tc>
        <w:tc>
          <w:tcPr>
            <w:tcW w:w="840" w:type="dxa"/>
            <w:vAlign w:val="center"/>
          </w:tcPr>
          <w:p>
            <w:pPr>
              <w:spacing w:line="400" w:lineRule="exact"/>
              <w:jc w:val="center"/>
              <w:rPr>
                <w:rFonts w:ascii="仿宋" w:hAnsi="仿宋" w:eastAsia="仿宋"/>
                <w:sz w:val="28"/>
              </w:rPr>
            </w:pPr>
          </w:p>
        </w:tc>
        <w:tc>
          <w:tcPr>
            <w:tcW w:w="1260" w:type="dxa"/>
            <w:vAlign w:val="center"/>
          </w:tcPr>
          <w:p>
            <w:pPr>
              <w:spacing w:line="400" w:lineRule="exact"/>
              <w:jc w:val="center"/>
              <w:rPr>
                <w:rFonts w:ascii="仿宋" w:hAnsi="仿宋" w:eastAsia="仿宋"/>
                <w:sz w:val="28"/>
              </w:rPr>
            </w:pPr>
          </w:p>
        </w:tc>
        <w:tc>
          <w:tcPr>
            <w:tcW w:w="1438" w:type="dxa"/>
            <w:vAlign w:val="center"/>
          </w:tcPr>
          <w:p>
            <w:pPr>
              <w:spacing w:line="400" w:lineRule="exact"/>
              <w:jc w:val="center"/>
              <w:rPr>
                <w:rFonts w:ascii="仿宋" w:hAnsi="仿宋" w:eastAsia="仿宋"/>
                <w:sz w:val="28"/>
              </w:rPr>
            </w:pPr>
          </w:p>
        </w:tc>
        <w:tc>
          <w:tcPr>
            <w:tcW w:w="1502" w:type="dxa"/>
            <w:vAlign w:val="center"/>
          </w:tcPr>
          <w:p>
            <w:pPr>
              <w:spacing w:line="400" w:lineRule="exact"/>
              <w:jc w:val="center"/>
              <w:rPr>
                <w:rFonts w:ascii="仿宋" w:hAnsi="仿宋" w:eastAsia="仿宋"/>
                <w:sz w:val="28"/>
              </w:rPr>
            </w:pPr>
          </w:p>
        </w:tc>
        <w:tc>
          <w:tcPr>
            <w:tcW w:w="1470" w:type="dxa"/>
            <w:vAlign w:val="center"/>
          </w:tcPr>
          <w:p>
            <w:pPr>
              <w:spacing w:line="4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tcPr>
          <w:p>
            <w:pPr>
              <w:spacing w:line="400" w:lineRule="exact"/>
              <w:jc w:val="center"/>
              <w:rPr>
                <w:rFonts w:ascii="仿宋" w:hAnsi="仿宋" w:eastAsia="仿宋"/>
                <w:sz w:val="44"/>
              </w:rPr>
            </w:pPr>
          </w:p>
        </w:tc>
        <w:tc>
          <w:tcPr>
            <w:tcW w:w="1426" w:type="dxa"/>
            <w:vAlign w:val="center"/>
          </w:tcPr>
          <w:p>
            <w:pPr>
              <w:spacing w:line="400" w:lineRule="exact"/>
              <w:jc w:val="center"/>
              <w:rPr>
                <w:rFonts w:ascii="仿宋" w:hAnsi="仿宋" w:eastAsia="仿宋"/>
                <w:sz w:val="28"/>
              </w:rPr>
            </w:pPr>
          </w:p>
        </w:tc>
        <w:tc>
          <w:tcPr>
            <w:tcW w:w="1619" w:type="dxa"/>
            <w:vAlign w:val="center"/>
          </w:tcPr>
          <w:p>
            <w:pPr>
              <w:spacing w:line="400" w:lineRule="exact"/>
              <w:jc w:val="center"/>
              <w:rPr>
                <w:rFonts w:ascii="仿宋" w:hAnsi="仿宋" w:eastAsia="仿宋"/>
                <w:sz w:val="28"/>
              </w:rPr>
            </w:pPr>
          </w:p>
        </w:tc>
        <w:tc>
          <w:tcPr>
            <w:tcW w:w="840" w:type="dxa"/>
            <w:vAlign w:val="center"/>
          </w:tcPr>
          <w:p>
            <w:pPr>
              <w:spacing w:line="400" w:lineRule="exact"/>
              <w:jc w:val="center"/>
              <w:rPr>
                <w:rFonts w:ascii="仿宋" w:hAnsi="仿宋" w:eastAsia="仿宋"/>
                <w:sz w:val="28"/>
              </w:rPr>
            </w:pPr>
          </w:p>
        </w:tc>
        <w:tc>
          <w:tcPr>
            <w:tcW w:w="1260" w:type="dxa"/>
            <w:vAlign w:val="center"/>
          </w:tcPr>
          <w:p>
            <w:pPr>
              <w:spacing w:line="400" w:lineRule="exact"/>
              <w:jc w:val="center"/>
              <w:rPr>
                <w:rFonts w:ascii="仿宋" w:hAnsi="仿宋" w:eastAsia="仿宋"/>
                <w:sz w:val="28"/>
              </w:rPr>
            </w:pPr>
          </w:p>
        </w:tc>
        <w:tc>
          <w:tcPr>
            <w:tcW w:w="1438" w:type="dxa"/>
            <w:vAlign w:val="center"/>
          </w:tcPr>
          <w:p>
            <w:pPr>
              <w:spacing w:line="400" w:lineRule="exact"/>
              <w:jc w:val="center"/>
              <w:rPr>
                <w:rFonts w:ascii="仿宋" w:hAnsi="仿宋" w:eastAsia="仿宋"/>
                <w:sz w:val="28"/>
              </w:rPr>
            </w:pPr>
          </w:p>
        </w:tc>
        <w:tc>
          <w:tcPr>
            <w:tcW w:w="1502" w:type="dxa"/>
            <w:vAlign w:val="center"/>
          </w:tcPr>
          <w:p>
            <w:pPr>
              <w:spacing w:line="400" w:lineRule="exact"/>
              <w:jc w:val="center"/>
              <w:rPr>
                <w:rFonts w:ascii="仿宋" w:hAnsi="仿宋" w:eastAsia="仿宋"/>
                <w:sz w:val="28"/>
              </w:rPr>
            </w:pPr>
          </w:p>
        </w:tc>
        <w:tc>
          <w:tcPr>
            <w:tcW w:w="1470" w:type="dxa"/>
            <w:vAlign w:val="center"/>
          </w:tcPr>
          <w:p>
            <w:pPr>
              <w:spacing w:line="4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85" w:type="dxa"/>
            <w:gridSpan w:val="8"/>
          </w:tcPr>
          <w:p>
            <w:pPr>
              <w:spacing w:line="400" w:lineRule="exact"/>
              <w:rPr>
                <w:rFonts w:ascii="仿宋" w:hAnsi="仿宋" w:eastAsia="仿宋"/>
                <w:sz w:val="24"/>
              </w:rPr>
            </w:pPr>
            <w:r>
              <w:rPr>
                <w:rFonts w:hint="eastAsia" w:ascii="仿宋" w:hAnsi="仿宋" w:eastAsia="仿宋"/>
                <w:sz w:val="24"/>
              </w:rPr>
              <w:t>报价合计（万元）：          大写：</w:t>
            </w:r>
            <w:r>
              <w:rPr>
                <w:rFonts w:hint="eastAsia" w:hAnsi="宋体" w:cs="宋体"/>
                <w:b/>
                <w:bCs/>
                <w:sz w:val="24"/>
              </w:rPr>
              <w:t>（含增值税普通发票）</w:t>
            </w:r>
          </w:p>
        </w:tc>
      </w:tr>
    </w:tbl>
    <w:p>
      <w:pPr>
        <w:spacing w:line="400" w:lineRule="exact"/>
        <w:ind w:left="840" w:hanging="840" w:hangingChars="350"/>
        <w:jc w:val="left"/>
        <w:rPr>
          <w:rFonts w:ascii="仿宋" w:hAnsi="仿宋" w:eastAsia="仿宋"/>
          <w:sz w:val="24"/>
        </w:rPr>
      </w:pPr>
      <w:r>
        <w:rPr>
          <w:rFonts w:hint="eastAsia" w:ascii="仿宋" w:hAnsi="仿宋" w:eastAsia="仿宋"/>
          <w:sz w:val="24"/>
        </w:rPr>
        <w:t>注：</w:t>
      </w:r>
      <w:r>
        <w:rPr>
          <w:rFonts w:ascii="仿宋" w:hAnsi="仿宋" w:eastAsia="仿宋"/>
          <w:sz w:val="24"/>
        </w:rPr>
        <w:t>1</w:t>
      </w:r>
      <w:r>
        <w:rPr>
          <w:rFonts w:hint="eastAsia" w:ascii="仿宋" w:hAnsi="仿宋" w:eastAsia="仿宋"/>
          <w:sz w:val="24"/>
        </w:rPr>
        <w:t xml:space="preserve">. 报价应是最终用户验收合格后的总价，包括设备运输、保险、代理、安装调试、培训、税费、系统集成费用、吊车费和招标文件规定的其它费用。 </w:t>
      </w:r>
    </w:p>
    <w:p>
      <w:pPr>
        <w:spacing w:line="400" w:lineRule="exact"/>
        <w:ind w:left="1084" w:leftChars="213" w:hanging="360" w:hangingChars="150"/>
        <w:rPr>
          <w:rFonts w:ascii="仿宋" w:hAnsi="仿宋" w:eastAsia="仿宋"/>
          <w:sz w:val="24"/>
        </w:rPr>
      </w:pPr>
      <w:r>
        <w:rPr>
          <w:rFonts w:hint="eastAsia" w:ascii="仿宋" w:hAnsi="仿宋" w:eastAsia="仿宋"/>
          <w:sz w:val="24"/>
        </w:rPr>
        <w:t>2.“开标一览表”以包为单位填写。</w:t>
      </w:r>
    </w:p>
    <w:p>
      <w:pPr>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投标人名称：        （盖章）</w:t>
      </w: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法定代表人或授权代表（签字）：</w:t>
      </w:r>
    </w:p>
    <w:p>
      <w:pPr>
        <w:adjustRightInd w:val="0"/>
        <w:spacing w:line="400" w:lineRule="exact"/>
        <w:ind w:firstLine="480" w:firstLineChars="200"/>
        <w:jc w:val="left"/>
        <w:rPr>
          <w:rFonts w:ascii="仿宋" w:hAnsi="仿宋" w:eastAsia="仿宋"/>
          <w:sz w:val="24"/>
        </w:rPr>
        <w:sectPr>
          <w:pgSz w:w="11907" w:h="16840"/>
          <w:pgMar w:top="1440" w:right="1474" w:bottom="1440" w:left="1474" w:header="851" w:footer="992" w:gutter="0"/>
          <w:cols w:space="720" w:num="1"/>
          <w:docGrid w:linePitch="312" w:charSpace="0"/>
        </w:sectPr>
      </w:pPr>
      <w:r>
        <w:rPr>
          <w:rFonts w:hint="eastAsia" w:ascii="仿宋" w:hAnsi="仿宋" w:eastAsia="仿宋"/>
          <w:sz w:val="24"/>
        </w:rPr>
        <w:t>投标日期：</w:t>
      </w:r>
    </w:p>
    <w:bookmarkEnd w:id="156"/>
    <w:p>
      <w:pPr>
        <w:pStyle w:val="3"/>
        <w:spacing w:line="400" w:lineRule="exact"/>
        <w:jc w:val="center"/>
        <w:rPr>
          <w:rFonts w:ascii="仿宋" w:hAnsi="仿宋" w:eastAsia="仿宋"/>
          <w:bCs w:val="0"/>
          <w:szCs w:val="28"/>
        </w:rPr>
      </w:pPr>
      <w:bookmarkStart w:id="157" w:name="_Toc217446086"/>
      <w:bookmarkStart w:id="158" w:name="PO_默认文件内容_10"/>
      <w:r>
        <w:rPr>
          <w:rFonts w:hint="eastAsia" w:ascii="仿宋" w:hAnsi="仿宋" w:eastAsia="仿宋"/>
          <w:bCs w:val="0"/>
          <w:szCs w:val="28"/>
        </w:rPr>
        <w:t>四、分项报价明细表</w:t>
      </w:r>
      <w:bookmarkEnd w:id="157"/>
    </w:p>
    <w:p>
      <w:pPr>
        <w:spacing w:line="360" w:lineRule="auto"/>
        <w:rPr>
          <w:rFonts w:ascii="仿宋" w:hAnsi="仿宋" w:eastAsia="仿宋"/>
          <w:sz w:val="28"/>
        </w:rPr>
      </w:pPr>
      <w:r>
        <w:rPr>
          <w:rFonts w:hint="eastAsia" w:ascii="仿宋" w:hAnsi="仿宋" w:eastAsia="仿宋"/>
          <w:sz w:val="28"/>
        </w:rPr>
        <w:t xml:space="preserve">招标编号：                                         </w:t>
      </w:r>
    </w:p>
    <w:p>
      <w:pPr>
        <w:spacing w:line="360" w:lineRule="auto"/>
        <w:rPr>
          <w:rFonts w:ascii="仿宋" w:hAnsi="仿宋" w:eastAsia="仿宋"/>
          <w:sz w:val="28"/>
        </w:rPr>
      </w:pPr>
      <w:r>
        <w:rPr>
          <w:rFonts w:hint="eastAsia" w:ascii="仿宋" w:hAnsi="仿宋" w:eastAsia="仿宋"/>
          <w:sz w:val="28"/>
        </w:rPr>
        <w:t>包号：</w:t>
      </w:r>
    </w:p>
    <w:tbl>
      <w:tblPr>
        <w:tblStyle w:val="31"/>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155"/>
        <w:gridCol w:w="1260"/>
        <w:gridCol w:w="840"/>
        <w:gridCol w:w="840"/>
        <w:gridCol w:w="840"/>
        <w:gridCol w:w="945"/>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683"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序号</w:t>
            </w:r>
          </w:p>
        </w:tc>
        <w:tc>
          <w:tcPr>
            <w:tcW w:w="1470"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产品名称</w:t>
            </w:r>
          </w:p>
        </w:tc>
        <w:tc>
          <w:tcPr>
            <w:tcW w:w="1155"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规格型号</w:t>
            </w:r>
          </w:p>
        </w:tc>
        <w:tc>
          <w:tcPr>
            <w:tcW w:w="1260"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 xml:space="preserve">  品牌</w:t>
            </w:r>
          </w:p>
        </w:tc>
        <w:tc>
          <w:tcPr>
            <w:tcW w:w="840"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单位</w:t>
            </w:r>
          </w:p>
        </w:tc>
        <w:tc>
          <w:tcPr>
            <w:tcW w:w="840"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 xml:space="preserve"> 数量</w:t>
            </w:r>
          </w:p>
        </w:tc>
        <w:tc>
          <w:tcPr>
            <w:tcW w:w="840"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 xml:space="preserve"> 单价</w:t>
            </w:r>
          </w:p>
        </w:tc>
        <w:tc>
          <w:tcPr>
            <w:tcW w:w="945"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金额</w:t>
            </w:r>
          </w:p>
        </w:tc>
        <w:tc>
          <w:tcPr>
            <w:tcW w:w="1242"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仿宋" w:hAnsi="仿宋" w:eastAsia="仿宋"/>
                <w:sz w:val="24"/>
              </w:rPr>
            </w:pPr>
          </w:p>
        </w:tc>
        <w:tc>
          <w:tcPr>
            <w:tcW w:w="1470" w:type="dxa"/>
            <w:vAlign w:val="center"/>
          </w:tcPr>
          <w:p>
            <w:pPr>
              <w:snapToGrid w:val="0"/>
              <w:spacing w:line="400" w:lineRule="exact"/>
              <w:jc w:val="center"/>
              <w:rPr>
                <w:rFonts w:ascii="仿宋" w:hAnsi="仿宋" w:eastAsia="仿宋"/>
                <w:sz w:val="24"/>
              </w:rPr>
            </w:pPr>
          </w:p>
        </w:tc>
        <w:tc>
          <w:tcPr>
            <w:tcW w:w="1155" w:type="dxa"/>
            <w:vAlign w:val="center"/>
          </w:tcPr>
          <w:p>
            <w:pPr>
              <w:snapToGrid w:val="0"/>
              <w:spacing w:line="400" w:lineRule="exact"/>
              <w:jc w:val="center"/>
              <w:rPr>
                <w:rFonts w:ascii="仿宋" w:hAnsi="仿宋" w:eastAsia="仿宋"/>
                <w:sz w:val="24"/>
              </w:rPr>
            </w:pPr>
          </w:p>
        </w:tc>
        <w:tc>
          <w:tcPr>
            <w:tcW w:w="126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945" w:type="dxa"/>
            <w:vAlign w:val="center"/>
          </w:tcPr>
          <w:p>
            <w:pPr>
              <w:snapToGrid w:val="0"/>
              <w:spacing w:line="400" w:lineRule="exact"/>
              <w:jc w:val="center"/>
              <w:rPr>
                <w:rFonts w:ascii="仿宋" w:hAnsi="仿宋" w:eastAsia="仿宋"/>
                <w:sz w:val="24"/>
              </w:rPr>
            </w:pPr>
          </w:p>
        </w:tc>
        <w:tc>
          <w:tcPr>
            <w:tcW w:w="1242" w:type="dxa"/>
            <w:vAlign w:val="center"/>
          </w:tcPr>
          <w:p>
            <w:pPr>
              <w:snapToGrid w:val="0"/>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仿宋" w:hAnsi="仿宋" w:eastAsia="仿宋"/>
                <w:sz w:val="24"/>
              </w:rPr>
            </w:pPr>
          </w:p>
        </w:tc>
        <w:tc>
          <w:tcPr>
            <w:tcW w:w="1470" w:type="dxa"/>
            <w:vAlign w:val="center"/>
          </w:tcPr>
          <w:p>
            <w:pPr>
              <w:snapToGrid w:val="0"/>
              <w:spacing w:line="400" w:lineRule="exact"/>
              <w:jc w:val="center"/>
              <w:rPr>
                <w:rFonts w:ascii="仿宋" w:hAnsi="仿宋" w:eastAsia="仿宋"/>
                <w:sz w:val="24"/>
              </w:rPr>
            </w:pPr>
          </w:p>
        </w:tc>
        <w:tc>
          <w:tcPr>
            <w:tcW w:w="1155" w:type="dxa"/>
            <w:vAlign w:val="center"/>
          </w:tcPr>
          <w:p>
            <w:pPr>
              <w:snapToGrid w:val="0"/>
              <w:spacing w:line="400" w:lineRule="exact"/>
              <w:jc w:val="center"/>
              <w:rPr>
                <w:rFonts w:ascii="仿宋" w:hAnsi="仿宋" w:eastAsia="仿宋"/>
                <w:sz w:val="24"/>
              </w:rPr>
            </w:pPr>
          </w:p>
        </w:tc>
        <w:tc>
          <w:tcPr>
            <w:tcW w:w="126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945" w:type="dxa"/>
            <w:vAlign w:val="center"/>
          </w:tcPr>
          <w:p>
            <w:pPr>
              <w:snapToGrid w:val="0"/>
              <w:spacing w:line="400" w:lineRule="exact"/>
              <w:jc w:val="center"/>
              <w:rPr>
                <w:rFonts w:ascii="仿宋" w:hAnsi="仿宋" w:eastAsia="仿宋"/>
                <w:sz w:val="24"/>
              </w:rPr>
            </w:pPr>
          </w:p>
        </w:tc>
        <w:tc>
          <w:tcPr>
            <w:tcW w:w="1242" w:type="dxa"/>
            <w:vAlign w:val="center"/>
          </w:tcPr>
          <w:p>
            <w:pPr>
              <w:snapToGrid w:val="0"/>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仿宋" w:hAnsi="仿宋" w:eastAsia="仿宋"/>
                <w:sz w:val="24"/>
              </w:rPr>
            </w:pPr>
          </w:p>
        </w:tc>
        <w:tc>
          <w:tcPr>
            <w:tcW w:w="1470" w:type="dxa"/>
            <w:vAlign w:val="center"/>
          </w:tcPr>
          <w:p>
            <w:pPr>
              <w:snapToGrid w:val="0"/>
              <w:spacing w:line="400" w:lineRule="exact"/>
              <w:jc w:val="center"/>
              <w:rPr>
                <w:rFonts w:ascii="仿宋" w:hAnsi="仿宋" w:eastAsia="仿宋"/>
                <w:sz w:val="24"/>
              </w:rPr>
            </w:pPr>
          </w:p>
        </w:tc>
        <w:tc>
          <w:tcPr>
            <w:tcW w:w="1155" w:type="dxa"/>
            <w:vAlign w:val="center"/>
          </w:tcPr>
          <w:p>
            <w:pPr>
              <w:snapToGrid w:val="0"/>
              <w:spacing w:line="400" w:lineRule="exact"/>
              <w:jc w:val="center"/>
              <w:rPr>
                <w:rFonts w:ascii="仿宋" w:hAnsi="仿宋" w:eastAsia="仿宋"/>
                <w:sz w:val="24"/>
              </w:rPr>
            </w:pPr>
          </w:p>
        </w:tc>
        <w:tc>
          <w:tcPr>
            <w:tcW w:w="126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945" w:type="dxa"/>
            <w:vAlign w:val="center"/>
          </w:tcPr>
          <w:p>
            <w:pPr>
              <w:snapToGrid w:val="0"/>
              <w:spacing w:line="400" w:lineRule="exact"/>
              <w:jc w:val="center"/>
              <w:rPr>
                <w:rFonts w:ascii="仿宋" w:hAnsi="仿宋" w:eastAsia="仿宋"/>
                <w:sz w:val="24"/>
              </w:rPr>
            </w:pPr>
          </w:p>
        </w:tc>
        <w:tc>
          <w:tcPr>
            <w:tcW w:w="1242" w:type="dxa"/>
            <w:vAlign w:val="center"/>
          </w:tcPr>
          <w:p>
            <w:pPr>
              <w:snapToGrid w:val="0"/>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仿宋" w:hAnsi="仿宋" w:eastAsia="仿宋"/>
                <w:sz w:val="24"/>
              </w:rPr>
            </w:pPr>
          </w:p>
        </w:tc>
        <w:tc>
          <w:tcPr>
            <w:tcW w:w="1470" w:type="dxa"/>
            <w:vAlign w:val="center"/>
          </w:tcPr>
          <w:p>
            <w:pPr>
              <w:snapToGrid w:val="0"/>
              <w:spacing w:line="400" w:lineRule="exact"/>
              <w:jc w:val="center"/>
              <w:rPr>
                <w:rFonts w:ascii="仿宋" w:hAnsi="仿宋" w:eastAsia="仿宋"/>
                <w:sz w:val="24"/>
              </w:rPr>
            </w:pPr>
          </w:p>
        </w:tc>
        <w:tc>
          <w:tcPr>
            <w:tcW w:w="1155" w:type="dxa"/>
            <w:vAlign w:val="center"/>
          </w:tcPr>
          <w:p>
            <w:pPr>
              <w:snapToGrid w:val="0"/>
              <w:spacing w:line="400" w:lineRule="exact"/>
              <w:jc w:val="center"/>
              <w:rPr>
                <w:rFonts w:ascii="仿宋" w:hAnsi="仿宋" w:eastAsia="仿宋"/>
                <w:sz w:val="24"/>
              </w:rPr>
            </w:pPr>
          </w:p>
        </w:tc>
        <w:tc>
          <w:tcPr>
            <w:tcW w:w="126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945" w:type="dxa"/>
            <w:vAlign w:val="center"/>
          </w:tcPr>
          <w:p>
            <w:pPr>
              <w:snapToGrid w:val="0"/>
              <w:spacing w:line="400" w:lineRule="exact"/>
              <w:jc w:val="center"/>
              <w:rPr>
                <w:rFonts w:ascii="仿宋" w:hAnsi="仿宋" w:eastAsia="仿宋"/>
                <w:sz w:val="24"/>
              </w:rPr>
            </w:pPr>
          </w:p>
        </w:tc>
        <w:tc>
          <w:tcPr>
            <w:tcW w:w="1242" w:type="dxa"/>
            <w:vAlign w:val="center"/>
          </w:tcPr>
          <w:p>
            <w:pPr>
              <w:snapToGrid w:val="0"/>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仿宋" w:hAnsi="仿宋" w:eastAsia="仿宋"/>
                <w:sz w:val="24"/>
              </w:rPr>
            </w:pPr>
          </w:p>
        </w:tc>
        <w:tc>
          <w:tcPr>
            <w:tcW w:w="1470" w:type="dxa"/>
            <w:vAlign w:val="center"/>
          </w:tcPr>
          <w:p>
            <w:pPr>
              <w:snapToGrid w:val="0"/>
              <w:spacing w:line="400" w:lineRule="exact"/>
              <w:jc w:val="center"/>
              <w:rPr>
                <w:rFonts w:ascii="仿宋" w:hAnsi="仿宋" w:eastAsia="仿宋"/>
                <w:sz w:val="24"/>
              </w:rPr>
            </w:pPr>
          </w:p>
        </w:tc>
        <w:tc>
          <w:tcPr>
            <w:tcW w:w="1155" w:type="dxa"/>
            <w:vAlign w:val="center"/>
          </w:tcPr>
          <w:p>
            <w:pPr>
              <w:snapToGrid w:val="0"/>
              <w:spacing w:line="400" w:lineRule="exact"/>
              <w:jc w:val="center"/>
              <w:rPr>
                <w:rFonts w:ascii="仿宋" w:hAnsi="仿宋" w:eastAsia="仿宋"/>
                <w:sz w:val="24"/>
              </w:rPr>
            </w:pPr>
          </w:p>
        </w:tc>
        <w:tc>
          <w:tcPr>
            <w:tcW w:w="126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945" w:type="dxa"/>
            <w:vAlign w:val="center"/>
          </w:tcPr>
          <w:p>
            <w:pPr>
              <w:snapToGrid w:val="0"/>
              <w:spacing w:line="400" w:lineRule="exact"/>
              <w:jc w:val="center"/>
              <w:rPr>
                <w:rFonts w:ascii="仿宋" w:hAnsi="仿宋" w:eastAsia="仿宋"/>
                <w:sz w:val="24"/>
              </w:rPr>
            </w:pPr>
          </w:p>
        </w:tc>
        <w:tc>
          <w:tcPr>
            <w:tcW w:w="1242" w:type="dxa"/>
            <w:vAlign w:val="center"/>
          </w:tcPr>
          <w:p>
            <w:pPr>
              <w:snapToGrid w:val="0"/>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仿宋" w:hAnsi="仿宋" w:eastAsia="仿宋"/>
                <w:sz w:val="24"/>
              </w:rPr>
            </w:pPr>
          </w:p>
        </w:tc>
        <w:tc>
          <w:tcPr>
            <w:tcW w:w="1470" w:type="dxa"/>
            <w:vAlign w:val="center"/>
          </w:tcPr>
          <w:p>
            <w:pPr>
              <w:snapToGrid w:val="0"/>
              <w:spacing w:line="400" w:lineRule="exact"/>
              <w:jc w:val="center"/>
              <w:rPr>
                <w:rFonts w:ascii="仿宋" w:hAnsi="仿宋" w:eastAsia="仿宋"/>
                <w:sz w:val="24"/>
              </w:rPr>
            </w:pPr>
          </w:p>
        </w:tc>
        <w:tc>
          <w:tcPr>
            <w:tcW w:w="1155" w:type="dxa"/>
            <w:vAlign w:val="center"/>
          </w:tcPr>
          <w:p>
            <w:pPr>
              <w:snapToGrid w:val="0"/>
              <w:spacing w:line="400" w:lineRule="exact"/>
              <w:jc w:val="center"/>
              <w:rPr>
                <w:rFonts w:ascii="仿宋" w:hAnsi="仿宋" w:eastAsia="仿宋"/>
                <w:sz w:val="24"/>
              </w:rPr>
            </w:pPr>
          </w:p>
        </w:tc>
        <w:tc>
          <w:tcPr>
            <w:tcW w:w="126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840" w:type="dxa"/>
            <w:vAlign w:val="center"/>
          </w:tcPr>
          <w:p>
            <w:pPr>
              <w:snapToGrid w:val="0"/>
              <w:spacing w:line="400" w:lineRule="exact"/>
              <w:jc w:val="center"/>
              <w:rPr>
                <w:rFonts w:ascii="仿宋" w:hAnsi="仿宋" w:eastAsia="仿宋"/>
                <w:sz w:val="24"/>
              </w:rPr>
            </w:pPr>
          </w:p>
        </w:tc>
        <w:tc>
          <w:tcPr>
            <w:tcW w:w="945" w:type="dxa"/>
            <w:vAlign w:val="center"/>
          </w:tcPr>
          <w:p>
            <w:pPr>
              <w:snapToGrid w:val="0"/>
              <w:spacing w:line="400" w:lineRule="exact"/>
              <w:jc w:val="center"/>
              <w:rPr>
                <w:rFonts w:ascii="仿宋" w:hAnsi="仿宋" w:eastAsia="仿宋"/>
                <w:sz w:val="24"/>
              </w:rPr>
            </w:pPr>
          </w:p>
        </w:tc>
        <w:tc>
          <w:tcPr>
            <w:tcW w:w="1242" w:type="dxa"/>
            <w:vAlign w:val="center"/>
          </w:tcPr>
          <w:p>
            <w:pPr>
              <w:snapToGrid w:val="0"/>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仿宋" w:hAnsi="仿宋" w:eastAsia="仿宋"/>
                <w:sz w:val="24"/>
              </w:rPr>
            </w:pPr>
          </w:p>
        </w:tc>
        <w:tc>
          <w:tcPr>
            <w:tcW w:w="6405" w:type="dxa"/>
            <w:gridSpan w:val="6"/>
            <w:vAlign w:val="center"/>
          </w:tcPr>
          <w:p>
            <w:pPr>
              <w:snapToGrid w:val="0"/>
              <w:spacing w:line="400" w:lineRule="exact"/>
              <w:ind w:firstLine="600" w:firstLineChars="250"/>
              <w:rPr>
                <w:rFonts w:ascii="仿宋" w:hAnsi="仿宋" w:eastAsia="仿宋"/>
                <w:sz w:val="24"/>
              </w:rPr>
            </w:pPr>
            <w:r>
              <w:rPr>
                <w:rFonts w:hint="eastAsia" w:ascii="仿宋" w:hAnsi="仿宋" w:eastAsia="仿宋"/>
                <w:sz w:val="24"/>
              </w:rPr>
              <w:t>分项报价合计（万元）</w:t>
            </w:r>
          </w:p>
        </w:tc>
        <w:tc>
          <w:tcPr>
            <w:tcW w:w="945" w:type="dxa"/>
            <w:vAlign w:val="center"/>
          </w:tcPr>
          <w:p>
            <w:pPr>
              <w:snapToGrid w:val="0"/>
              <w:spacing w:line="400" w:lineRule="exact"/>
              <w:rPr>
                <w:rFonts w:ascii="仿宋" w:hAnsi="仿宋" w:eastAsia="仿宋"/>
                <w:sz w:val="24"/>
              </w:rPr>
            </w:pPr>
          </w:p>
        </w:tc>
        <w:tc>
          <w:tcPr>
            <w:tcW w:w="1242" w:type="dxa"/>
            <w:vAlign w:val="center"/>
          </w:tcPr>
          <w:p>
            <w:pPr>
              <w:snapToGrid w:val="0"/>
              <w:spacing w:line="400" w:lineRule="exact"/>
              <w:jc w:val="center"/>
              <w:rPr>
                <w:rFonts w:ascii="仿宋" w:hAnsi="仿宋" w:eastAsia="仿宋"/>
                <w:sz w:val="24"/>
              </w:rPr>
            </w:pPr>
          </w:p>
        </w:tc>
      </w:tr>
    </w:tbl>
    <w:p>
      <w:pPr>
        <w:spacing w:line="400" w:lineRule="exact"/>
        <w:ind w:left="840" w:hanging="840" w:hangingChars="350"/>
        <w:rPr>
          <w:rFonts w:ascii="仿宋" w:hAnsi="仿宋" w:eastAsia="仿宋"/>
          <w:bCs/>
          <w:sz w:val="24"/>
        </w:rPr>
      </w:pPr>
      <w:r>
        <w:rPr>
          <w:rFonts w:hint="eastAsia" w:ascii="仿宋" w:hAnsi="仿宋" w:eastAsia="仿宋"/>
          <w:sz w:val="24"/>
        </w:rPr>
        <w:t>注：1、投标人必须按“</w:t>
      </w:r>
      <w:r>
        <w:rPr>
          <w:rFonts w:hint="eastAsia" w:ascii="仿宋" w:hAnsi="仿宋" w:eastAsia="仿宋"/>
          <w:bCs/>
          <w:sz w:val="24"/>
        </w:rPr>
        <w:t>分项报价明细表”的格式</w:t>
      </w:r>
      <w:r>
        <w:rPr>
          <w:rFonts w:hint="eastAsia" w:ascii="仿宋" w:hAnsi="仿宋" w:eastAsia="仿宋"/>
          <w:sz w:val="24"/>
        </w:rPr>
        <w:t>详细报出投标总价的各个组成部分的报价。</w:t>
      </w:r>
    </w:p>
    <w:p>
      <w:pPr>
        <w:spacing w:line="400" w:lineRule="exact"/>
        <w:jc w:val="left"/>
        <w:rPr>
          <w:rFonts w:ascii="仿宋" w:hAnsi="仿宋" w:eastAsia="仿宋"/>
          <w:bCs/>
          <w:sz w:val="24"/>
        </w:rPr>
      </w:pPr>
      <w:r>
        <w:rPr>
          <w:rFonts w:hint="eastAsia" w:ascii="仿宋" w:hAnsi="仿宋" w:eastAsia="仿宋"/>
          <w:bCs/>
          <w:sz w:val="24"/>
        </w:rPr>
        <w:t xml:space="preserve"> 2、</w:t>
      </w:r>
      <w:r>
        <w:rPr>
          <w:rFonts w:hint="eastAsia" w:ascii="仿宋" w:hAnsi="仿宋" w:eastAsia="仿宋"/>
          <w:sz w:val="24"/>
        </w:rPr>
        <w:t>“</w:t>
      </w:r>
      <w:r>
        <w:rPr>
          <w:rFonts w:hint="eastAsia" w:ascii="仿宋" w:hAnsi="仿宋" w:eastAsia="仿宋"/>
          <w:bCs/>
          <w:sz w:val="24"/>
        </w:rPr>
        <w:t>分项报价明细表”各分项报价合计应当与“开标一览表”报价合计相等。</w:t>
      </w:r>
    </w:p>
    <w:p>
      <w:pPr>
        <w:spacing w:line="400" w:lineRule="exact"/>
        <w:jc w:val="left"/>
        <w:rPr>
          <w:rFonts w:ascii="仿宋" w:hAnsi="仿宋" w:eastAsia="仿宋"/>
          <w:b/>
          <w:bCs/>
          <w:sz w:val="24"/>
        </w:rPr>
      </w:pPr>
    </w:p>
    <w:p>
      <w:pPr>
        <w:adjustRightInd w:val="0"/>
        <w:spacing w:line="400" w:lineRule="exact"/>
        <w:ind w:firstLine="560" w:firstLineChars="200"/>
        <w:jc w:val="left"/>
        <w:rPr>
          <w:rFonts w:ascii="仿宋" w:hAnsi="仿宋" w:eastAsia="仿宋"/>
          <w:sz w:val="28"/>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投标人名称：        （盖章）</w:t>
      </w: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法定代表人或授权代表（签字）：</w:t>
      </w:r>
    </w:p>
    <w:p>
      <w:pPr>
        <w:adjustRightInd w:val="0"/>
        <w:spacing w:line="400" w:lineRule="exact"/>
        <w:ind w:firstLine="480" w:firstLineChars="200"/>
        <w:jc w:val="left"/>
        <w:rPr>
          <w:rFonts w:ascii="仿宋" w:hAnsi="仿宋" w:eastAsia="仿宋"/>
          <w:sz w:val="28"/>
        </w:rPr>
        <w:sectPr>
          <w:type w:val="nextColumn"/>
          <w:pgSz w:w="11907" w:h="16840"/>
          <w:pgMar w:top="1440" w:right="1474" w:bottom="1440" w:left="1474" w:header="851" w:footer="992" w:gutter="0"/>
          <w:cols w:space="720" w:num="1"/>
          <w:docGrid w:linePitch="312" w:charSpace="0"/>
        </w:sectPr>
      </w:pPr>
      <w:r>
        <w:rPr>
          <w:rFonts w:hint="eastAsia" w:ascii="仿宋" w:hAnsi="仿宋" w:eastAsia="仿宋"/>
          <w:sz w:val="24"/>
        </w:rPr>
        <w:t>投标日期：</w:t>
      </w:r>
    </w:p>
    <w:p>
      <w:pPr>
        <w:pStyle w:val="3"/>
        <w:spacing w:line="400" w:lineRule="exact"/>
        <w:jc w:val="center"/>
        <w:rPr>
          <w:rFonts w:ascii="仿宋" w:hAnsi="仿宋" w:eastAsia="仿宋"/>
          <w:bCs w:val="0"/>
          <w:szCs w:val="28"/>
        </w:rPr>
      </w:pPr>
      <w:bookmarkStart w:id="159" w:name="_Toc217446087"/>
      <w:r>
        <w:rPr>
          <w:rFonts w:hint="eastAsia" w:ascii="仿宋" w:hAnsi="仿宋" w:eastAsia="仿宋"/>
          <w:bCs w:val="0"/>
          <w:szCs w:val="28"/>
        </w:rPr>
        <w:t>五、商务偏离表</w:t>
      </w:r>
      <w:bookmarkEnd w:id="159"/>
    </w:p>
    <w:p>
      <w:pPr>
        <w:spacing w:line="360" w:lineRule="auto"/>
        <w:rPr>
          <w:rFonts w:ascii="仿宋" w:hAnsi="仿宋" w:eastAsia="仿宋"/>
          <w:sz w:val="28"/>
        </w:rPr>
      </w:pPr>
      <w:r>
        <w:rPr>
          <w:rFonts w:hint="eastAsia" w:ascii="仿宋" w:hAnsi="仿宋" w:eastAsia="仿宋"/>
          <w:sz w:val="28"/>
        </w:rPr>
        <w:t xml:space="preserve">招标编号：                                         </w:t>
      </w:r>
    </w:p>
    <w:p>
      <w:pPr>
        <w:spacing w:line="360" w:lineRule="auto"/>
        <w:rPr>
          <w:rFonts w:ascii="仿宋" w:hAnsi="仿宋" w:eastAsia="仿宋"/>
          <w:sz w:val="28"/>
        </w:rPr>
      </w:pPr>
      <w:r>
        <w:rPr>
          <w:rFonts w:hint="eastAsia" w:ascii="仿宋" w:hAnsi="仿宋" w:eastAsia="仿宋"/>
          <w:sz w:val="28"/>
        </w:rPr>
        <w:t>包号：</w:t>
      </w:r>
    </w:p>
    <w:tbl>
      <w:tblPr>
        <w:tblStyle w:val="31"/>
        <w:tblW w:w="85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25"/>
        <w:gridCol w:w="2415"/>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序号</w:t>
            </w:r>
          </w:p>
        </w:tc>
        <w:tc>
          <w:tcPr>
            <w:tcW w:w="2625"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招标要求</w:t>
            </w:r>
          </w:p>
        </w:tc>
        <w:tc>
          <w:tcPr>
            <w:tcW w:w="2415"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投标响应</w:t>
            </w:r>
          </w:p>
        </w:tc>
        <w:tc>
          <w:tcPr>
            <w:tcW w:w="2621"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sz w:val="32"/>
              </w:rPr>
            </w:pPr>
          </w:p>
        </w:tc>
        <w:tc>
          <w:tcPr>
            <w:tcW w:w="2625" w:type="dxa"/>
          </w:tcPr>
          <w:p>
            <w:pPr>
              <w:spacing w:line="400" w:lineRule="exact"/>
              <w:jc w:val="center"/>
              <w:rPr>
                <w:rFonts w:ascii="仿宋" w:hAnsi="仿宋" w:eastAsia="仿宋"/>
                <w:sz w:val="32"/>
              </w:rPr>
            </w:pPr>
          </w:p>
        </w:tc>
        <w:tc>
          <w:tcPr>
            <w:tcW w:w="2415" w:type="dxa"/>
          </w:tcPr>
          <w:p>
            <w:pPr>
              <w:spacing w:line="400" w:lineRule="exact"/>
              <w:jc w:val="center"/>
              <w:rPr>
                <w:rFonts w:ascii="仿宋" w:hAnsi="仿宋" w:eastAsia="仿宋"/>
                <w:sz w:val="32"/>
              </w:rPr>
            </w:pPr>
          </w:p>
        </w:tc>
        <w:tc>
          <w:tcPr>
            <w:tcW w:w="2621" w:type="dxa"/>
          </w:tcPr>
          <w:p>
            <w:pPr>
              <w:spacing w:line="400" w:lineRule="exact"/>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sz w:val="32"/>
              </w:rPr>
            </w:pPr>
          </w:p>
        </w:tc>
        <w:tc>
          <w:tcPr>
            <w:tcW w:w="2625" w:type="dxa"/>
          </w:tcPr>
          <w:p>
            <w:pPr>
              <w:spacing w:line="400" w:lineRule="exact"/>
              <w:jc w:val="center"/>
              <w:rPr>
                <w:rFonts w:ascii="仿宋" w:hAnsi="仿宋" w:eastAsia="仿宋"/>
                <w:sz w:val="32"/>
              </w:rPr>
            </w:pPr>
          </w:p>
        </w:tc>
        <w:tc>
          <w:tcPr>
            <w:tcW w:w="2415" w:type="dxa"/>
          </w:tcPr>
          <w:p>
            <w:pPr>
              <w:spacing w:line="400" w:lineRule="exact"/>
              <w:jc w:val="center"/>
              <w:rPr>
                <w:rFonts w:ascii="仿宋" w:hAnsi="仿宋" w:eastAsia="仿宋"/>
                <w:sz w:val="32"/>
              </w:rPr>
            </w:pPr>
          </w:p>
        </w:tc>
        <w:tc>
          <w:tcPr>
            <w:tcW w:w="2621" w:type="dxa"/>
          </w:tcPr>
          <w:p>
            <w:pPr>
              <w:spacing w:line="400" w:lineRule="exact"/>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sz w:val="32"/>
              </w:rPr>
            </w:pPr>
          </w:p>
        </w:tc>
        <w:tc>
          <w:tcPr>
            <w:tcW w:w="2625" w:type="dxa"/>
          </w:tcPr>
          <w:p>
            <w:pPr>
              <w:spacing w:line="400" w:lineRule="exact"/>
              <w:jc w:val="center"/>
              <w:rPr>
                <w:rFonts w:ascii="仿宋" w:hAnsi="仿宋" w:eastAsia="仿宋"/>
                <w:sz w:val="32"/>
              </w:rPr>
            </w:pPr>
          </w:p>
        </w:tc>
        <w:tc>
          <w:tcPr>
            <w:tcW w:w="2415" w:type="dxa"/>
          </w:tcPr>
          <w:p>
            <w:pPr>
              <w:spacing w:line="400" w:lineRule="exact"/>
              <w:jc w:val="center"/>
              <w:rPr>
                <w:rFonts w:ascii="仿宋" w:hAnsi="仿宋" w:eastAsia="仿宋"/>
                <w:sz w:val="32"/>
              </w:rPr>
            </w:pPr>
          </w:p>
        </w:tc>
        <w:tc>
          <w:tcPr>
            <w:tcW w:w="2621" w:type="dxa"/>
          </w:tcPr>
          <w:p>
            <w:pPr>
              <w:spacing w:line="400" w:lineRule="exact"/>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sz w:val="32"/>
              </w:rPr>
            </w:pPr>
          </w:p>
        </w:tc>
        <w:tc>
          <w:tcPr>
            <w:tcW w:w="2625" w:type="dxa"/>
          </w:tcPr>
          <w:p>
            <w:pPr>
              <w:spacing w:line="400" w:lineRule="exact"/>
              <w:jc w:val="center"/>
              <w:rPr>
                <w:rFonts w:ascii="仿宋" w:hAnsi="仿宋" w:eastAsia="仿宋"/>
                <w:sz w:val="32"/>
              </w:rPr>
            </w:pPr>
          </w:p>
        </w:tc>
        <w:tc>
          <w:tcPr>
            <w:tcW w:w="2415" w:type="dxa"/>
          </w:tcPr>
          <w:p>
            <w:pPr>
              <w:spacing w:line="400" w:lineRule="exact"/>
              <w:jc w:val="center"/>
              <w:rPr>
                <w:rFonts w:ascii="仿宋" w:hAnsi="仿宋" w:eastAsia="仿宋"/>
                <w:sz w:val="32"/>
              </w:rPr>
            </w:pPr>
          </w:p>
        </w:tc>
        <w:tc>
          <w:tcPr>
            <w:tcW w:w="2621" w:type="dxa"/>
          </w:tcPr>
          <w:p>
            <w:pPr>
              <w:spacing w:line="400" w:lineRule="exact"/>
              <w:jc w:val="center"/>
              <w:rPr>
                <w:rFonts w:ascii="仿宋" w:hAnsi="仿宋" w:eastAsia="仿宋"/>
                <w:sz w:val="32"/>
              </w:rPr>
            </w:pPr>
          </w:p>
        </w:tc>
      </w:tr>
    </w:tbl>
    <w:p>
      <w:pPr>
        <w:spacing w:line="400" w:lineRule="exact"/>
        <w:ind w:left="674" w:leftChars="57" w:hanging="480" w:hangingChars="200"/>
        <w:rPr>
          <w:rFonts w:ascii="仿宋" w:hAnsi="仿宋" w:eastAsia="仿宋"/>
          <w:sz w:val="24"/>
        </w:rPr>
      </w:pPr>
      <w:r>
        <w:rPr>
          <w:rFonts w:hint="eastAsia" w:ascii="仿宋" w:hAnsi="仿宋" w:eastAsia="仿宋"/>
          <w:sz w:val="24"/>
        </w:rPr>
        <w:t>注：1.本表只填写投标文件中与招标文件有偏离（包括正偏离和负偏离）的内容，投标文件中商务响应与招标文件要求完全一致的，不用在此表中列出。</w:t>
      </w:r>
    </w:p>
    <w:p>
      <w:pPr>
        <w:spacing w:line="400" w:lineRule="exact"/>
        <w:ind w:left="969" w:leftChars="285"/>
        <w:rPr>
          <w:rFonts w:ascii="仿宋" w:hAnsi="仿宋" w:eastAsia="仿宋"/>
          <w:sz w:val="24"/>
        </w:rPr>
      </w:pPr>
      <w:r>
        <w:rPr>
          <w:rFonts w:hint="eastAsia" w:ascii="仿宋" w:hAnsi="仿宋" w:eastAsia="仿宋"/>
          <w:sz w:val="24"/>
        </w:rPr>
        <w:t>2．供应商必须据实填写，不得虚假响应，否则将取消其投标或中标资格，并按有关规定进行处罚。</w:t>
      </w:r>
    </w:p>
    <w:p>
      <w:pPr>
        <w:adjustRightInd w:val="0"/>
        <w:spacing w:line="400" w:lineRule="exact"/>
        <w:ind w:firstLine="490" w:firstLineChars="175"/>
        <w:jc w:val="left"/>
        <w:rPr>
          <w:rFonts w:ascii="仿宋" w:hAnsi="仿宋" w:eastAsia="仿宋"/>
          <w:bCs/>
          <w:sz w:val="28"/>
          <w:szCs w:val="28"/>
        </w:rPr>
      </w:pPr>
    </w:p>
    <w:p>
      <w:pPr>
        <w:adjustRightInd w:val="0"/>
        <w:spacing w:line="400" w:lineRule="exact"/>
        <w:ind w:firstLine="420" w:firstLineChars="175"/>
        <w:jc w:val="left"/>
        <w:rPr>
          <w:rFonts w:ascii="仿宋" w:hAnsi="仿宋" w:eastAsia="仿宋"/>
          <w:bCs/>
          <w:sz w:val="24"/>
        </w:rPr>
      </w:pPr>
      <w:r>
        <w:rPr>
          <w:rFonts w:hint="eastAsia" w:ascii="仿宋" w:hAnsi="仿宋" w:eastAsia="仿宋"/>
          <w:bCs/>
          <w:sz w:val="24"/>
        </w:rPr>
        <w:t>投标人名称：      （盖章）</w:t>
      </w:r>
    </w:p>
    <w:p>
      <w:pPr>
        <w:adjustRightInd w:val="0"/>
        <w:spacing w:line="400" w:lineRule="exact"/>
        <w:ind w:firstLine="420" w:firstLineChars="175"/>
        <w:jc w:val="left"/>
        <w:rPr>
          <w:rFonts w:ascii="仿宋" w:hAnsi="仿宋" w:eastAsia="仿宋"/>
          <w:bCs/>
          <w:sz w:val="24"/>
        </w:rPr>
      </w:pPr>
      <w:r>
        <w:rPr>
          <w:rFonts w:hint="eastAsia" w:ascii="仿宋" w:hAnsi="仿宋" w:eastAsia="仿宋"/>
          <w:sz w:val="24"/>
        </w:rPr>
        <w:t>法定代表人或授权代表（签字）</w:t>
      </w:r>
      <w:r>
        <w:rPr>
          <w:rFonts w:hint="eastAsia" w:ascii="仿宋" w:hAnsi="仿宋" w:eastAsia="仿宋"/>
          <w:bCs/>
          <w:sz w:val="24"/>
        </w:rPr>
        <w:t>：</w:t>
      </w:r>
    </w:p>
    <w:p>
      <w:pPr>
        <w:spacing w:line="400" w:lineRule="exact"/>
        <w:ind w:firstLine="480" w:firstLineChars="200"/>
        <w:rPr>
          <w:rFonts w:ascii="仿宋" w:hAnsi="仿宋" w:eastAsia="仿宋"/>
          <w:bCs/>
          <w:sz w:val="24"/>
        </w:rPr>
      </w:pPr>
      <w:r>
        <w:rPr>
          <w:rFonts w:hint="eastAsia" w:ascii="仿宋" w:hAnsi="仿宋" w:eastAsia="仿宋"/>
          <w:bCs/>
          <w:sz w:val="24"/>
        </w:rPr>
        <w:t>投标日期</w:t>
      </w:r>
      <w:r>
        <w:rPr>
          <w:rFonts w:ascii="仿宋" w:hAnsi="仿宋" w:eastAsia="仿宋"/>
          <w:bCs/>
          <w:sz w:val="24"/>
        </w:rPr>
        <w:t>:</w:t>
      </w: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spacing w:line="400" w:lineRule="exact"/>
        <w:rPr>
          <w:rFonts w:ascii="仿宋" w:hAnsi="仿宋" w:eastAsia="仿宋"/>
          <w:bCs/>
          <w:sz w:val="28"/>
          <w:szCs w:val="28"/>
        </w:rPr>
      </w:pPr>
    </w:p>
    <w:p>
      <w:pPr>
        <w:pStyle w:val="3"/>
        <w:spacing w:line="400" w:lineRule="exact"/>
        <w:rPr>
          <w:rFonts w:ascii="仿宋" w:hAnsi="仿宋" w:eastAsia="仿宋"/>
          <w:b w:val="0"/>
          <w:bCs w:val="0"/>
          <w:sz w:val="30"/>
          <w:szCs w:val="30"/>
        </w:rPr>
      </w:pPr>
      <w:bookmarkStart w:id="160" w:name="_Toc217446088"/>
    </w:p>
    <w:p>
      <w:pPr>
        <w:rPr>
          <w:rFonts w:ascii="仿宋" w:hAnsi="仿宋" w:eastAsia="仿宋"/>
        </w:rPr>
      </w:pPr>
    </w:p>
    <w:p>
      <w:pPr>
        <w:pStyle w:val="3"/>
        <w:spacing w:line="400" w:lineRule="exact"/>
        <w:jc w:val="center"/>
        <w:rPr>
          <w:rFonts w:ascii="仿宋" w:hAnsi="仿宋" w:eastAsia="仿宋"/>
          <w:bCs w:val="0"/>
          <w:szCs w:val="28"/>
        </w:rPr>
      </w:pPr>
      <w:r>
        <w:rPr>
          <w:rFonts w:hint="eastAsia" w:ascii="仿宋" w:hAnsi="仿宋" w:eastAsia="仿宋"/>
          <w:bCs w:val="0"/>
          <w:szCs w:val="28"/>
        </w:rPr>
        <w:t>六、投标人基本情况表</w:t>
      </w:r>
      <w:bookmarkEnd w:id="160"/>
    </w:p>
    <w:p>
      <w:pPr>
        <w:autoSpaceDE w:val="0"/>
        <w:autoSpaceDN w:val="0"/>
        <w:adjustRightInd w:val="0"/>
        <w:spacing w:before="156" w:beforeLines="50" w:after="156" w:afterLines="50" w:line="400" w:lineRule="exact"/>
        <w:jc w:val="center"/>
        <w:rPr>
          <w:rFonts w:ascii="仿宋" w:hAnsi="仿宋" w:eastAsia="仿宋"/>
          <w:sz w:val="20"/>
        </w:rPr>
      </w:pP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投标人名称</w:t>
            </w:r>
          </w:p>
        </w:tc>
        <w:tc>
          <w:tcPr>
            <w:tcW w:w="7019" w:type="dxa"/>
            <w:gridSpan w:val="8"/>
            <w:vAlign w:val="center"/>
          </w:tcPr>
          <w:p>
            <w:pPr>
              <w:autoSpaceDE w:val="0"/>
              <w:autoSpaceDN w:val="0"/>
              <w:adjustRightInd w:val="0"/>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注册地址</w:t>
            </w:r>
          </w:p>
        </w:tc>
        <w:tc>
          <w:tcPr>
            <w:tcW w:w="3440" w:type="dxa"/>
            <w:gridSpan w:val="4"/>
            <w:vAlign w:val="center"/>
          </w:tcPr>
          <w:p>
            <w:pPr>
              <w:autoSpaceDE w:val="0"/>
              <w:autoSpaceDN w:val="0"/>
              <w:adjustRightInd w:val="0"/>
              <w:spacing w:line="400" w:lineRule="exact"/>
              <w:jc w:val="center"/>
              <w:rPr>
                <w:rFonts w:ascii="仿宋" w:hAnsi="仿宋" w:eastAsia="仿宋"/>
                <w:sz w:val="21"/>
                <w:szCs w:val="21"/>
              </w:rPr>
            </w:pPr>
          </w:p>
        </w:tc>
        <w:tc>
          <w:tcPr>
            <w:tcW w:w="1325"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邮政编码</w:t>
            </w:r>
          </w:p>
        </w:tc>
        <w:tc>
          <w:tcPr>
            <w:tcW w:w="2254" w:type="dxa"/>
            <w:gridSpan w:val="3"/>
            <w:vAlign w:val="center"/>
          </w:tcPr>
          <w:p>
            <w:pPr>
              <w:autoSpaceDE w:val="0"/>
              <w:autoSpaceDN w:val="0"/>
              <w:adjustRightInd w:val="0"/>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联系方式</w:t>
            </w:r>
          </w:p>
        </w:tc>
        <w:tc>
          <w:tcPr>
            <w:tcW w:w="972"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联系人</w:t>
            </w:r>
          </w:p>
        </w:tc>
        <w:tc>
          <w:tcPr>
            <w:tcW w:w="2461"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332" w:type="dxa"/>
            <w:gridSpan w:val="2"/>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电话</w:t>
            </w:r>
          </w:p>
        </w:tc>
        <w:tc>
          <w:tcPr>
            <w:tcW w:w="2254" w:type="dxa"/>
            <w:gridSpan w:val="3"/>
            <w:vAlign w:val="center"/>
          </w:tcPr>
          <w:p>
            <w:pPr>
              <w:autoSpaceDE w:val="0"/>
              <w:autoSpaceDN w:val="0"/>
              <w:adjustRightInd w:val="0"/>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pPr>
              <w:autoSpaceDE w:val="0"/>
              <w:autoSpaceDN w:val="0"/>
              <w:adjustRightInd w:val="0"/>
              <w:spacing w:line="400" w:lineRule="exact"/>
              <w:jc w:val="center"/>
              <w:rPr>
                <w:rFonts w:ascii="仿宋" w:hAnsi="仿宋" w:eastAsia="仿宋"/>
                <w:sz w:val="21"/>
                <w:szCs w:val="21"/>
              </w:rPr>
            </w:pPr>
          </w:p>
        </w:tc>
        <w:tc>
          <w:tcPr>
            <w:tcW w:w="972"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传真</w:t>
            </w:r>
          </w:p>
        </w:tc>
        <w:tc>
          <w:tcPr>
            <w:tcW w:w="2461"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332" w:type="dxa"/>
            <w:gridSpan w:val="2"/>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网址</w:t>
            </w:r>
          </w:p>
        </w:tc>
        <w:tc>
          <w:tcPr>
            <w:tcW w:w="2254" w:type="dxa"/>
            <w:gridSpan w:val="3"/>
            <w:vAlign w:val="center"/>
          </w:tcPr>
          <w:p>
            <w:pPr>
              <w:autoSpaceDE w:val="0"/>
              <w:autoSpaceDN w:val="0"/>
              <w:adjustRightInd w:val="0"/>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组织结构</w:t>
            </w:r>
          </w:p>
        </w:tc>
        <w:tc>
          <w:tcPr>
            <w:tcW w:w="7019" w:type="dxa"/>
            <w:gridSpan w:val="8"/>
            <w:vAlign w:val="center"/>
          </w:tcPr>
          <w:p>
            <w:pPr>
              <w:autoSpaceDE w:val="0"/>
              <w:autoSpaceDN w:val="0"/>
              <w:adjustRightInd w:val="0"/>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法定代表人</w:t>
            </w:r>
          </w:p>
        </w:tc>
        <w:tc>
          <w:tcPr>
            <w:tcW w:w="972"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姓名</w:t>
            </w:r>
          </w:p>
        </w:tc>
        <w:tc>
          <w:tcPr>
            <w:tcW w:w="1206" w:type="dxa"/>
            <w:vAlign w:val="center"/>
          </w:tcPr>
          <w:p>
            <w:pPr>
              <w:autoSpaceDE w:val="0"/>
              <w:autoSpaceDN w:val="0"/>
              <w:adjustRightInd w:val="0"/>
              <w:spacing w:line="400" w:lineRule="exact"/>
              <w:jc w:val="center"/>
              <w:rPr>
                <w:rFonts w:ascii="仿宋" w:hAnsi="仿宋" w:eastAsia="仿宋"/>
                <w:sz w:val="21"/>
                <w:szCs w:val="21"/>
              </w:rPr>
            </w:pPr>
          </w:p>
        </w:tc>
        <w:tc>
          <w:tcPr>
            <w:tcW w:w="1255"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178" w:type="dxa"/>
            <w:gridSpan w:val="2"/>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电话</w:t>
            </w:r>
          </w:p>
        </w:tc>
        <w:tc>
          <w:tcPr>
            <w:tcW w:w="1076" w:type="dxa"/>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技术负责人</w:t>
            </w:r>
          </w:p>
        </w:tc>
        <w:tc>
          <w:tcPr>
            <w:tcW w:w="972"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姓名</w:t>
            </w:r>
          </w:p>
        </w:tc>
        <w:tc>
          <w:tcPr>
            <w:tcW w:w="1206" w:type="dxa"/>
            <w:vAlign w:val="center"/>
          </w:tcPr>
          <w:p>
            <w:pPr>
              <w:autoSpaceDE w:val="0"/>
              <w:autoSpaceDN w:val="0"/>
              <w:adjustRightInd w:val="0"/>
              <w:spacing w:line="400" w:lineRule="exact"/>
              <w:jc w:val="center"/>
              <w:rPr>
                <w:rFonts w:ascii="仿宋" w:hAnsi="仿宋" w:eastAsia="仿宋"/>
                <w:sz w:val="21"/>
                <w:szCs w:val="21"/>
              </w:rPr>
            </w:pPr>
          </w:p>
        </w:tc>
        <w:tc>
          <w:tcPr>
            <w:tcW w:w="1255"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178" w:type="dxa"/>
            <w:gridSpan w:val="2"/>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电话</w:t>
            </w:r>
          </w:p>
        </w:tc>
        <w:tc>
          <w:tcPr>
            <w:tcW w:w="1076" w:type="dxa"/>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成立时间</w:t>
            </w:r>
          </w:p>
        </w:tc>
        <w:tc>
          <w:tcPr>
            <w:tcW w:w="2178"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4841" w:type="dxa"/>
            <w:gridSpan w:val="6"/>
            <w:vAlign w:val="center"/>
          </w:tcPr>
          <w:p>
            <w:pPr>
              <w:autoSpaceDE w:val="0"/>
              <w:autoSpaceDN w:val="0"/>
              <w:adjustRightInd w:val="0"/>
              <w:spacing w:line="400" w:lineRule="exact"/>
              <w:ind w:firstLine="1470" w:firstLineChars="700"/>
              <w:rPr>
                <w:rFonts w:ascii="仿宋" w:hAnsi="仿宋" w:eastAsia="仿宋"/>
                <w:sz w:val="21"/>
                <w:szCs w:val="21"/>
              </w:rPr>
            </w:pPr>
            <w:r>
              <w:rPr>
                <w:rFonts w:hint="eastAsia" w:ascii="仿宋" w:hAnsi="仿宋" w:eastAsia="仿宋"/>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企业资质等级</w:t>
            </w:r>
          </w:p>
        </w:tc>
        <w:tc>
          <w:tcPr>
            <w:tcW w:w="2178"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255" w:type="dxa"/>
            <w:vMerge w:val="restart"/>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其中</w:t>
            </w:r>
          </w:p>
        </w:tc>
        <w:tc>
          <w:tcPr>
            <w:tcW w:w="1493" w:type="dxa"/>
            <w:gridSpan w:val="3"/>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项目经理</w:t>
            </w:r>
          </w:p>
        </w:tc>
        <w:tc>
          <w:tcPr>
            <w:tcW w:w="2093" w:type="dxa"/>
            <w:gridSpan w:val="2"/>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营业执照号</w:t>
            </w:r>
          </w:p>
        </w:tc>
        <w:tc>
          <w:tcPr>
            <w:tcW w:w="2178"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 w:val="21"/>
                <w:szCs w:val="21"/>
              </w:rPr>
            </w:pPr>
          </w:p>
        </w:tc>
        <w:tc>
          <w:tcPr>
            <w:tcW w:w="1493" w:type="dxa"/>
            <w:gridSpan w:val="3"/>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高级职称人员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注册资金</w:t>
            </w:r>
          </w:p>
        </w:tc>
        <w:tc>
          <w:tcPr>
            <w:tcW w:w="2178"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 w:val="21"/>
                <w:szCs w:val="21"/>
              </w:rPr>
            </w:pPr>
          </w:p>
        </w:tc>
        <w:tc>
          <w:tcPr>
            <w:tcW w:w="1493" w:type="dxa"/>
            <w:gridSpan w:val="3"/>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中级职称人员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开户银行</w:t>
            </w:r>
          </w:p>
        </w:tc>
        <w:tc>
          <w:tcPr>
            <w:tcW w:w="2178"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 w:val="21"/>
                <w:szCs w:val="21"/>
              </w:rPr>
            </w:pPr>
          </w:p>
        </w:tc>
        <w:tc>
          <w:tcPr>
            <w:tcW w:w="1493" w:type="dxa"/>
            <w:gridSpan w:val="3"/>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初级职称人员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账号</w:t>
            </w:r>
          </w:p>
        </w:tc>
        <w:tc>
          <w:tcPr>
            <w:tcW w:w="2178"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 w:val="21"/>
                <w:szCs w:val="21"/>
              </w:rPr>
            </w:pPr>
          </w:p>
        </w:tc>
        <w:tc>
          <w:tcPr>
            <w:tcW w:w="1493" w:type="dxa"/>
            <w:gridSpan w:val="3"/>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技工</w:t>
            </w:r>
          </w:p>
        </w:tc>
        <w:tc>
          <w:tcPr>
            <w:tcW w:w="2093" w:type="dxa"/>
            <w:gridSpan w:val="2"/>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经营范围</w:t>
            </w:r>
          </w:p>
        </w:tc>
        <w:tc>
          <w:tcPr>
            <w:tcW w:w="7019" w:type="dxa"/>
            <w:gridSpan w:val="8"/>
            <w:vAlign w:val="center"/>
          </w:tcPr>
          <w:p>
            <w:pPr>
              <w:autoSpaceDE w:val="0"/>
              <w:autoSpaceDN w:val="0"/>
              <w:adjustRightInd w:val="0"/>
              <w:spacing w:line="400" w:lineRule="exact"/>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备注</w:t>
            </w:r>
          </w:p>
        </w:tc>
        <w:tc>
          <w:tcPr>
            <w:tcW w:w="7019" w:type="dxa"/>
            <w:gridSpan w:val="8"/>
          </w:tcPr>
          <w:p>
            <w:pPr>
              <w:autoSpaceDE w:val="0"/>
              <w:autoSpaceDN w:val="0"/>
              <w:adjustRightInd w:val="0"/>
              <w:spacing w:line="400" w:lineRule="exact"/>
              <w:jc w:val="left"/>
              <w:rPr>
                <w:rFonts w:ascii="仿宋" w:hAnsi="仿宋" w:eastAsia="仿宋"/>
                <w:sz w:val="21"/>
                <w:szCs w:val="21"/>
              </w:rPr>
            </w:pPr>
          </w:p>
        </w:tc>
      </w:tr>
    </w:tbl>
    <w:p>
      <w:pPr>
        <w:spacing w:line="400" w:lineRule="exact"/>
        <w:outlineLvl w:val="1"/>
        <w:rPr>
          <w:rFonts w:ascii="仿宋" w:hAnsi="仿宋" w:eastAsia="仿宋"/>
          <w:b/>
          <w:sz w:val="32"/>
          <w:szCs w:val="32"/>
        </w:rPr>
      </w:pPr>
    </w:p>
    <w:p>
      <w:pPr>
        <w:adjustRightInd w:val="0"/>
        <w:spacing w:line="400" w:lineRule="exact"/>
        <w:ind w:firstLine="420" w:firstLineChars="175"/>
        <w:jc w:val="left"/>
        <w:rPr>
          <w:rFonts w:ascii="仿宋" w:hAnsi="仿宋" w:eastAsia="仿宋"/>
          <w:bCs/>
          <w:sz w:val="24"/>
        </w:rPr>
      </w:pPr>
      <w:r>
        <w:rPr>
          <w:rFonts w:hint="eastAsia" w:ascii="仿宋" w:hAnsi="仿宋" w:eastAsia="仿宋"/>
          <w:bCs/>
          <w:sz w:val="24"/>
        </w:rPr>
        <w:t>投标人名称：        （盖章）</w:t>
      </w:r>
    </w:p>
    <w:p>
      <w:pPr>
        <w:adjustRightInd w:val="0"/>
        <w:spacing w:line="400" w:lineRule="exact"/>
        <w:ind w:firstLine="420" w:firstLineChars="175"/>
        <w:jc w:val="left"/>
        <w:rPr>
          <w:rFonts w:ascii="仿宋" w:hAnsi="仿宋" w:eastAsia="仿宋"/>
          <w:bCs/>
          <w:sz w:val="24"/>
        </w:rPr>
      </w:pPr>
      <w:r>
        <w:rPr>
          <w:rFonts w:hint="eastAsia" w:ascii="仿宋" w:hAnsi="仿宋" w:eastAsia="仿宋"/>
          <w:sz w:val="24"/>
        </w:rPr>
        <w:t>法定代表人或授权代表（签字）</w:t>
      </w:r>
      <w:r>
        <w:rPr>
          <w:rFonts w:hint="eastAsia" w:ascii="仿宋" w:hAnsi="仿宋" w:eastAsia="仿宋"/>
          <w:bCs/>
          <w:sz w:val="24"/>
        </w:rPr>
        <w:t>：</w:t>
      </w:r>
    </w:p>
    <w:p>
      <w:pPr>
        <w:spacing w:line="400" w:lineRule="exact"/>
        <w:ind w:firstLine="480" w:firstLineChars="200"/>
        <w:outlineLvl w:val="1"/>
        <w:rPr>
          <w:rFonts w:ascii="仿宋" w:hAnsi="仿宋" w:eastAsia="仿宋"/>
          <w:b/>
          <w:sz w:val="24"/>
        </w:rPr>
      </w:pPr>
      <w:r>
        <w:rPr>
          <w:rFonts w:hint="eastAsia" w:ascii="仿宋" w:hAnsi="仿宋" w:eastAsia="仿宋"/>
          <w:bCs/>
          <w:sz w:val="24"/>
        </w:rPr>
        <w:t>投标日期：</w:t>
      </w:r>
    </w:p>
    <w:p>
      <w:pPr>
        <w:spacing w:line="400" w:lineRule="exact"/>
        <w:rPr>
          <w:rFonts w:ascii="仿宋" w:hAnsi="仿宋" w:eastAsia="仿宋"/>
        </w:rPr>
      </w:pPr>
    </w:p>
    <w:p>
      <w:pPr>
        <w:pStyle w:val="3"/>
        <w:spacing w:line="400" w:lineRule="exact"/>
        <w:jc w:val="center"/>
        <w:rPr>
          <w:rFonts w:ascii="仿宋" w:hAnsi="仿宋" w:eastAsia="仿宋" w:cs="Arial"/>
          <w:bCs w:val="0"/>
          <w:szCs w:val="28"/>
        </w:rPr>
      </w:pPr>
      <w:bookmarkStart w:id="161" w:name="_Toc217446089"/>
      <w:r>
        <w:rPr>
          <w:rFonts w:hint="eastAsia" w:ascii="仿宋" w:hAnsi="仿宋" w:eastAsia="仿宋" w:cs="Arial"/>
          <w:bCs w:val="0"/>
          <w:szCs w:val="28"/>
        </w:rPr>
        <w:t>七、投标人类似项目业绩一览表</w:t>
      </w:r>
      <w:bookmarkEnd w:id="161"/>
    </w:p>
    <w:p>
      <w:pPr>
        <w:spacing w:line="400" w:lineRule="exact"/>
        <w:rPr>
          <w:rFonts w:ascii="仿宋" w:hAnsi="仿宋" w:eastAsia="仿宋" w:cs="Arial"/>
          <w:sz w:val="24"/>
        </w:rPr>
      </w:pPr>
    </w:p>
    <w:tbl>
      <w:tblPr>
        <w:tblStyle w:val="31"/>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356"/>
        <w:gridCol w:w="1471"/>
        <w:gridCol w:w="15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仿宋" w:hAnsi="仿宋" w:eastAsia="仿宋"/>
                <w:sz w:val="24"/>
                <w:szCs w:val="22"/>
              </w:rPr>
            </w:pPr>
            <w:r>
              <w:rPr>
                <w:rFonts w:hint="eastAsia" w:ascii="仿宋" w:hAnsi="仿宋" w:eastAsia="仿宋"/>
                <w:sz w:val="24"/>
                <w:szCs w:val="22"/>
              </w:rPr>
              <w:t>年份</w:t>
            </w:r>
          </w:p>
        </w:tc>
        <w:tc>
          <w:tcPr>
            <w:tcW w:w="1681"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用户名称</w:t>
            </w:r>
          </w:p>
        </w:tc>
        <w:tc>
          <w:tcPr>
            <w:tcW w:w="1541"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项目名称</w:t>
            </w:r>
          </w:p>
        </w:tc>
        <w:tc>
          <w:tcPr>
            <w:tcW w:w="1356"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完成时间</w:t>
            </w:r>
          </w:p>
        </w:tc>
        <w:tc>
          <w:tcPr>
            <w:tcW w:w="1471" w:type="dxa"/>
            <w:vAlign w:val="center"/>
          </w:tcPr>
          <w:p>
            <w:pPr>
              <w:spacing w:line="400" w:lineRule="exact"/>
              <w:jc w:val="center"/>
              <w:rPr>
                <w:rFonts w:ascii="仿宋" w:hAnsi="仿宋" w:eastAsia="仿宋"/>
                <w:sz w:val="24"/>
                <w:szCs w:val="22"/>
              </w:rPr>
            </w:pPr>
            <w:r>
              <w:rPr>
                <w:rFonts w:hint="eastAsia" w:ascii="仿宋" w:hAnsi="仿宋" w:eastAsia="仿宋"/>
                <w:sz w:val="24"/>
                <w:szCs w:val="22"/>
              </w:rPr>
              <w:t>合同金额</w:t>
            </w:r>
          </w:p>
        </w:tc>
        <w:tc>
          <w:tcPr>
            <w:tcW w:w="1523" w:type="dxa"/>
            <w:tcBorders>
              <w:left w:val="single" w:color="auto" w:sz="4" w:space="0"/>
            </w:tcBorders>
            <w:vAlign w:val="center"/>
          </w:tcPr>
          <w:p>
            <w:pPr>
              <w:spacing w:line="400" w:lineRule="exact"/>
              <w:jc w:val="center"/>
              <w:rPr>
                <w:rFonts w:ascii="仿宋" w:hAnsi="仿宋" w:eastAsia="仿宋"/>
                <w:sz w:val="24"/>
                <w:szCs w:val="22"/>
              </w:rPr>
            </w:pPr>
            <w:r>
              <w:rPr>
                <w:rFonts w:hint="eastAsia" w:ascii="仿宋" w:hAnsi="仿宋" w:eastAsia="仿宋"/>
                <w:sz w:val="24"/>
                <w:szCs w:val="22"/>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356" w:type="dxa"/>
            <w:vAlign w:val="center"/>
          </w:tcPr>
          <w:p>
            <w:pPr>
              <w:spacing w:line="400" w:lineRule="exact"/>
              <w:jc w:val="center"/>
              <w:rPr>
                <w:rFonts w:ascii="仿宋" w:hAnsi="仿宋" w:eastAsia="仿宋" w:cs="Arial"/>
              </w:rPr>
            </w:pPr>
          </w:p>
        </w:tc>
        <w:tc>
          <w:tcPr>
            <w:tcW w:w="1471" w:type="dxa"/>
            <w:vAlign w:val="center"/>
          </w:tcPr>
          <w:p>
            <w:pPr>
              <w:spacing w:line="400" w:lineRule="exact"/>
              <w:jc w:val="center"/>
              <w:rPr>
                <w:rFonts w:ascii="仿宋" w:hAnsi="仿宋" w:eastAsia="仿宋" w:cs="Arial"/>
              </w:rPr>
            </w:pPr>
          </w:p>
        </w:tc>
        <w:tc>
          <w:tcPr>
            <w:tcW w:w="1523" w:type="dxa"/>
            <w:tcBorders>
              <w:left w:val="single" w:color="auto" w:sz="4" w:space="0"/>
            </w:tcBorders>
            <w:vAlign w:val="center"/>
          </w:tcPr>
          <w:p>
            <w:pPr>
              <w:spacing w:line="400" w:lineRule="exact"/>
              <w:jc w:val="center"/>
              <w:rPr>
                <w:rFonts w:ascii="仿宋" w:hAnsi="仿宋" w:eastAsia="仿宋"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581" w:leftChars="171" w:firstLine="360" w:firstLineChars="150"/>
        <w:rPr>
          <w:rFonts w:ascii="仿宋" w:hAnsi="仿宋" w:eastAsia="仿宋" w:cs="Arial"/>
          <w:sz w:val="24"/>
        </w:rPr>
      </w:pPr>
      <w:r>
        <w:rPr>
          <w:rFonts w:hint="eastAsia" w:ascii="仿宋" w:hAnsi="仿宋" w:eastAsia="仿宋" w:cs="Arial"/>
          <w:sz w:val="24"/>
        </w:rPr>
        <w:t xml:space="preserve">注：投标人以上业绩需提供有关书面证明材料。“合同金额”需提供合同复印件； </w:t>
      </w:r>
    </w:p>
    <w:p>
      <w:pPr>
        <w:spacing w:line="400" w:lineRule="exact"/>
        <w:ind w:left="360"/>
        <w:jc w:val="center"/>
        <w:rPr>
          <w:rFonts w:ascii="仿宋" w:hAnsi="仿宋" w:eastAsia="仿宋" w:cs="Arial"/>
          <w:sz w:val="24"/>
        </w:rPr>
      </w:pPr>
    </w:p>
    <w:p>
      <w:pPr>
        <w:spacing w:line="400" w:lineRule="exact"/>
        <w:ind w:left="360"/>
        <w:jc w:val="center"/>
        <w:rPr>
          <w:rFonts w:ascii="仿宋" w:hAnsi="仿宋" w:eastAsia="仿宋" w:cs="Arial"/>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投标人名称：         （盖章）</w:t>
      </w:r>
    </w:p>
    <w:p>
      <w:pPr>
        <w:adjustRightInd w:val="0"/>
        <w:spacing w:line="400" w:lineRule="exact"/>
        <w:ind w:firstLine="540" w:firstLineChars="225"/>
        <w:jc w:val="left"/>
        <w:rPr>
          <w:rFonts w:ascii="仿宋" w:hAnsi="仿宋" w:eastAsia="仿宋"/>
          <w:bCs/>
          <w:sz w:val="24"/>
        </w:rPr>
      </w:pPr>
      <w:r>
        <w:rPr>
          <w:rFonts w:hint="eastAsia" w:ascii="仿宋" w:hAnsi="仿宋" w:eastAsia="仿宋"/>
          <w:sz w:val="24"/>
        </w:rPr>
        <w:t>法定代表人或授权代表（签字）</w:t>
      </w:r>
      <w:r>
        <w:rPr>
          <w:rFonts w:hint="eastAsia" w:ascii="仿宋" w:hAnsi="仿宋" w:eastAsia="仿宋"/>
          <w:bCs/>
          <w:sz w:val="24"/>
        </w:rPr>
        <w:t>：</w:t>
      </w:r>
    </w:p>
    <w:p>
      <w:pPr>
        <w:spacing w:line="400" w:lineRule="exact"/>
        <w:ind w:firstLine="480" w:firstLineChars="200"/>
        <w:rPr>
          <w:rFonts w:ascii="仿宋" w:hAnsi="仿宋" w:eastAsia="仿宋"/>
          <w:b/>
          <w:sz w:val="24"/>
        </w:rPr>
      </w:pPr>
      <w:r>
        <w:rPr>
          <w:rFonts w:hint="eastAsia" w:ascii="仿宋" w:hAnsi="仿宋" w:eastAsia="仿宋"/>
          <w:bCs/>
          <w:sz w:val="24"/>
        </w:rPr>
        <w:t>投标日期：</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pStyle w:val="3"/>
        <w:spacing w:line="400" w:lineRule="exact"/>
        <w:jc w:val="center"/>
        <w:rPr>
          <w:rFonts w:ascii="仿宋" w:hAnsi="仿宋" w:eastAsia="仿宋"/>
          <w:bCs w:val="0"/>
          <w:szCs w:val="28"/>
        </w:rPr>
      </w:pPr>
      <w:bookmarkStart w:id="162" w:name="_Toc217446090"/>
      <w:r>
        <w:rPr>
          <w:rFonts w:hint="eastAsia" w:ascii="仿宋" w:hAnsi="仿宋" w:eastAsia="仿宋"/>
          <w:bCs w:val="0"/>
          <w:szCs w:val="28"/>
        </w:rPr>
        <w:t>八、投标产品技术参数表</w:t>
      </w:r>
      <w:bookmarkEnd w:id="162"/>
    </w:p>
    <w:p>
      <w:pPr>
        <w:autoSpaceDE w:val="0"/>
        <w:autoSpaceDN w:val="0"/>
        <w:adjustRightInd w:val="0"/>
        <w:spacing w:line="400" w:lineRule="exact"/>
        <w:jc w:val="center"/>
        <w:rPr>
          <w:rFonts w:ascii="仿宋" w:hAnsi="仿宋" w:eastAsia="仿宋"/>
          <w:b/>
          <w:bCs/>
          <w:sz w:val="28"/>
        </w:rPr>
      </w:pPr>
    </w:p>
    <w:p>
      <w:pPr>
        <w:pStyle w:val="76"/>
        <w:rPr>
          <w:rFonts w:ascii="仿宋" w:hAnsi="仿宋" w:eastAsia="仿宋"/>
          <w:sz w:val="21"/>
          <w:szCs w:val="21"/>
        </w:rPr>
      </w:pPr>
      <w:r>
        <w:rPr>
          <w:rFonts w:hint="eastAsia" w:ascii="仿宋" w:hAnsi="仿宋" w:eastAsia="仿宋"/>
        </w:rPr>
        <w:t>招标编号</w:t>
      </w:r>
      <w:r>
        <w:rPr>
          <w:rFonts w:hint="eastAsia" w:ascii="仿宋" w:hAnsi="仿宋" w:eastAsia="仿宋"/>
          <w:sz w:val="21"/>
          <w:szCs w:val="21"/>
        </w:rPr>
        <w:t xml:space="preserve">：                             </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996"/>
        <w:gridCol w:w="2543"/>
        <w:gridCol w:w="1604"/>
        <w:gridCol w:w="1580"/>
      </w:tblGrid>
      <w:tr>
        <w:tblPrEx>
          <w:tblCellMar>
            <w:top w:w="0" w:type="dxa"/>
            <w:left w:w="108" w:type="dxa"/>
            <w:bottom w:w="0" w:type="dxa"/>
            <w:right w:w="108" w:type="dxa"/>
          </w:tblCellMar>
        </w:tblPrEx>
        <w:trPr>
          <w:trHeight w:val="567" w:hRule="atLeast"/>
        </w:trPr>
        <w:tc>
          <w:tcPr>
            <w:tcW w:w="799" w:type="dxa"/>
            <w:vAlign w:val="center"/>
          </w:tcPr>
          <w:p>
            <w:pPr>
              <w:pStyle w:val="76"/>
              <w:rPr>
                <w:rFonts w:ascii="仿宋" w:hAnsi="仿宋" w:eastAsia="仿宋"/>
                <w:sz w:val="21"/>
                <w:szCs w:val="21"/>
              </w:rPr>
            </w:pPr>
            <w:r>
              <w:rPr>
                <w:rFonts w:hint="eastAsia" w:ascii="仿宋" w:hAnsi="仿宋" w:eastAsia="仿宋"/>
                <w:sz w:val="21"/>
                <w:szCs w:val="21"/>
              </w:rPr>
              <w:t>序号</w:t>
            </w:r>
          </w:p>
        </w:tc>
        <w:tc>
          <w:tcPr>
            <w:tcW w:w="1996" w:type="dxa"/>
            <w:vAlign w:val="center"/>
          </w:tcPr>
          <w:p>
            <w:pPr>
              <w:pStyle w:val="76"/>
              <w:rPr>
                <w:rFonts w:ascii="仿宋" w:hAnsi="仿宋" w:eastAsia="仿宋"/>
                <w:sz w:val="21"/>
                <w:szCs w:val="21"/>
              </w:rPr>
            </w:pPr>
            <w:r>
              <w:rPr>
                <w:rFonts w:hint="eastAsia" w:ascii="仿宋" w:hAnsi="仿宋" w:eastAsia="仿宋"/>
                <w:sz w:val="21"/>
                <w:szCs w:val="21"/>
              </w:rPr>
              <w:t>货物（设备）名称</w:t>
            </w:r>
          </w:p>
        </w:tc>
        <w:tc>
          <w:tcPr>
            <w:tcW w:w="2543" w:type="dxa"/>
            <w:vAlign w:val="center"/>
          </w:tcPr>
          <w:p>
            <w:pPr>
              <w:pStyle w:val="76"/>
              <w:ind w:firstLine="420" w:firstLineChars="200"/>
              <w:rPr>
                <w:rFonts w:ascii="仿宋" w:hAnsi="仿宋" w:eastAsia="仿宋"/>
                <w:sz w:val="21"/>
                <w:szCs w:val="21"/>
              </w:rPr>
            </w:pPr>
            <w:r>
              <w:rPr>
                <w:rFonts w:hint="eastAsia" w:ascii="仿宋" w:hAnsi="仿宋" w:eastAsia="仿宋"/>
                <w:sz w:val="21"/>
                <w:szCs w:val="21"/>
              </w:rPr>
              <w:t>招标文件要求</w:t>
            </w:r>
          </w:p>
        </w:tc>
        <w:tc>
          <w:tcPr>
            <w:tcW w:w="1604" w:type="dxa"/>
            <w:vAlign w:val="center"/>
          </w:tcPr>
          <w:p>
            <w:pPr>
              <w:pStyle w:val="76"/>
              <w:rPr>
                <w:rFonts w:ascii="仿宋" w:hAnsi="仿宋" w:eastAsia="仿宋"/>
                <w:sz w:val="21"/>
                <w:szCs w:val="21"/>
              </w:rPr>
            </w:pPr>
            <w:r>
              <w:rPr>
                <w:rFonts w:hint="eastAsia" w:ascii="仿宋" w:hAnsi="仿宋" w:eastAsia="仿宋"/>
                <w:sz w:val="21"/>
                <w:szCs w:val="21"/>
              </w:rPr>
              <w:t>投标产品技术参数</w:t>
            </w:r>
          </w:p>
        </w:tc>
        <w:tc>
          <w:tcPr>
            <w:tcW w:w="1580" w:type="dxa"/>
            <w:vAlign w:val="center"/>
          </w:tcPr>
          <w:p>
            <w:pPr>
              <w:pStyle w:val="76"/>
              <w:rPr>
                <w:rFonts w:ascii="仿宋" w:hAnsi="仿宋" w:eastAsia="仿宋"/>
                <w:sz w:val="21"/>
                <w:szCs w:val="21"/>
              </w:rPr>
            </w:pPr>
            <w:r>
              <w:rPr>
                <w:rFonts w:hint="eastAsia" w:ascii="仿宋" w:hAnsi="仿宋" w:eastAsia="仿宋"/>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76"/>
              <w:rPr>
                <w:rFonts w:ascii="仿宋" w:hAnsi="仿宋" w:eastAsia="仿宋"/>
                <w:sz w:val="21"/>
                <w:szCs w:val="21"/>
              </w:rPr>
            </w:pPr>
          </w:p>
        </w:tc>
        <w:tc>
          <w:tcPr>
            <w:tcW w:w="1996" w:type="dxa"/>
          </w:tcPr>
          <w:p>
            <w:pPr>
              <w:pStyle w:val="76"/>
              <w:rPr>
                <w:rFonts w:ascii="仿宋" w:hAnsi="仿宋" w:eastAsia="仿宋"/>
                <w:sz w:val="21"/>
                <w:szCs w:val="21"/>
              </w:rPr>
            </w:pPr>
          </w:p>
        </w:tc>
        <w:tc>
          <w:tcPr>
            <w:tcW w:w="2543" w:type="dxa"/>
          </w:tcPr>
          <w:p>
            <w:pPr>
              <w:pStyle w:val="76"/>
              <w:rPr>
                <w:rFonts w:ascii="仿宋" w:hAnsi="仿宋" w:eastAsia="仿宋"/>
                <w:sz w:val="21"/>
                <w:szCs w:val="21"/>
              </w:rPr>
            </w:pPr>
          </w:p>
        </w:tc>
        <w:tc>
          <w:tcPr>
            <w:tcW w:w="1604" w:type="dxa"/>
          </w:tcPr>
          <w:p>
            <w:pPr>
              <w:pStyle w:val="76"/>
              <w:rPr>
                <w:rFonts w:ascii="仿宋" w:hAnsi="仿宋" w:eastAsia="仿宋"/>
                <w:sz w:val="21"/>
                <w:szCs w:val="21"/>
              </w:rPr>
            </w:pPr>
          </w:p>
        </w:tc>
        <w:tc>
          <w:tcPr>
            <w:tcW w:w="1580" w:type="dxa"/>
          </w:tcPr>
          <w:p>
            <w:pPr>
              <w:pStyle w:val="76"/>
              <w:rPr>
                <w:rFonts w:ascii="仿宋" w:hAnsi="仿宋" w:eastAsia="仿宋"/>
                <w:sz w:val="21"/>
                <w:szCs w:val="21"/>
              </w:rPr>
            </w:pPr>
          </w:p>
        </w:tc>
      </w:tr>
      <w:tr>
        <w:tblPrEx>
          <w:tblCellMar>
            <w:top w:w="0" w:type="dxa"/>
            <w:left w:w="108" w:type="dxa"/>
            <w:bottom w:w="0" w:type="dxa"/>
            <w:right w:w="108" w:type="dxa"/>
          </w:tblCellMar>
        </w:tblPrEx>
        <w:trPr>
          <w:trHeight w:val="567" w:hRule="atLeast"/>
        </w:trPr>
        <w:tc>
          <w:tcPr>
            <w:tcW w:w="799" w:type="dxa"/>
          </w:tcPr>
          <w:p>
            <w:pPr>
              <w:pStyle w:val="76"/>
              <w:rPr>
                <w:rFonts w:ascii="仿宋" w:hAnsi="仿宋" w:eastAsia="仿宋"/>
                <w:sz w:val="21"/>
                <w:szCs w:val="21"/>
              </w:rPr>
            </w:pPr>
          </w:p>
        </w:tc>
        <w:tc>
          <w:tcPr>
            <w:tcW w:w="1996" w:type="dxa"/>
          </w:tcPr>
          <w:p>
            <w:pPr>
              <w:pStyle w:val="76"/>
              <w:rPr>
                <w:rFonts w:ascii="仿宋" w:hAnsi="仿宋" w:eastAsia="仿宋"/>
                <w:sz w:val="21"/>
                <w:szCs w:val="21"/>
              </w:rPr>
            </w:pPr>
          </w:p>
        </w:tc>
        <w:tc>
          <w:tcPr>
            <w:tcW w:w="2543" w:type="dxa"/>
          </w:tcPr>
          <w:p>
            <w:pPr>
              <w:pStyle w:val="76"/>
              <w:rPr>
                <w:rFonts w:ascii="仿宋" w:hAnsi="仿宋" w:eastAsia="仿宋"/>
                <w:sz w:val="21"/>
                <w:szCs w:val="21"/>
              </w:rPr>
            </w:pPr>
          </w:p>
        </w:tc>
        <w:tc>
          <w:tcPr>
            <w:tcW w:w="1604" w:type="dxa"/>
          </w:tcPr>
          <w:p>
            <w:pPr>
              <w:pStyle w:val="76"/>
              <w:rPr>
                <w:rFonts w:ascii="仿宋" w:hAnsi="仿宋" w:eastAsia="仿宋"/>
                <w:sz w:val="21"/>
                <w:szCs w:val="21"/>
              </w:rPr>
            </w:pPr>
          </w:p>
        </w:tc>
        <w:tc>
          <w:tcPr>
            <w:tcW w:w="1580" w:type="dxa"/>
          </w:tcPr>
          <w:p>
            <w:pPr>
              <w:pStyle w:val="76"/>
              <w:rPr>
                <w:rFonts w:ascii="仿宋" w:hAnsi="仿宋" w:eastAsia="仿宋"/>
                <w:sz w:val="21"/>
                <w:szCs w:val="21"/>
              </w:rPr>
            </w:pPr>
          </w:p>
        </w:tc>
      </w:tr>
      <w:tr>
        <w:tblPrEx>
          <w:tblCellMar>
            <w:top w:w="0" w:type="dxa"/>
            <w:left w:w="108" w:type="dxa"/>
            <w:bottom w:w="0" w:type="dxa"/>
            <w:right w:w="108" w:type="dxa"/>
          </w:tblCellMar>
        </w:tblPrEx>
        <w:trPr>
          <w:trHeight w:val="567" w:hRule="atLeast"/>
        </w:trPr>
        <w:tc>
          <w:tcPr>
            <w:tcW w:w="799" w:type="dxa"/>
          </w:tcPr>
          <w:p>
            <w:pPr>
              <w:pStyle w:val="76"/>
              <w:rPr>
                <w:rFonts w:ascii="仿宋" w:hAnsi="仿宋" w:eastAsia="仿宋"/>
                <w:sz w:val="21"/>
                <w:szCs w:val="21"/>
              </w:rPr>
            </w:pPr>
          </w:p>
        </w:tc>
        <w:tc>
          <w:tcPr>
            <w:tcW w:w="1996" w:type="dxa"/>
          </w:tcPr>
          <w:p>
            <w:pPr>
              <w:pStyle w:val="76"/>
              <w:rPr>
                <w:rFonts w:ascii="仿宋" w:hAnsi="仿宋" w:eastAsia="仿宋"/>
                <w:sz w:val="21"/>
                <w:szCs w:val="21"/>
              </w:rPr>
            </w:pPr>
          </w:p>
        </w:tc>
        <w:tc>
          <w:tcPr>
            <w:tcW w:w="2543" w:type="dxa"/>
          </w:tcPr>
          <w:p>
            <w:pPr>
              <w:pStyle w:val="76"/>
              <w:rPr>
                <w:rFonts w:ascii="仿宋" w:hAnsi="仿宋" w:eastAsia="仿宋"/>
                <w:sz w:val="21"/>
                <w:szCs w:val="21"/>
              </w:rPr>
            </w:pPr>
          </w:p>
        </w:tc>
        <w:tc>
          <w:tcPr>
            <w:tcW w:w="1604" w:type="dxa"/>
          </w:tcPr>
          <w:p>
            <w:pPr>
              <w:pStyle w:val="76"/>
              <w:rPr>
                <w:rFonts w:ascii="仿宋" w:hAnsi="仿宋" w:eastAsia="仿宋"/>
                <w:sz w:val="21"/>
                <w:szCs w:val="21"/>
              </w:rPr>
            </w:pPr>
          </w:p>
        </w:tc>
        <w:tc>
          <w:tcPr>
            <w:tcW w:w="1580" w:type="dxa"/>
          </w:tcPr>
          <w:p>
            <w:pPr>
              <w:pStyle w:val="76"/>
              <w:rPr>
                <w:rFonts w:ascii="仿宋" w:hAnsi="仿宋" w:eastAsia="仿宋"/>
                <w:sz w:val="21"/>
                <w:szCs w:val="21"/>
              </w:rPr>
            </w:pPr>
          </w:p>
        </w:tc>
      </w:tr>
      <w:tr>
        <w:tblPrEx>
          <w:tblCellMar>
            <w:top w:w="0" w:type="dxa"/>
            <w:left w:w="108" w:type="dxa"/>
            <w:bottom w:w="0" w:type="dxa"/>
            <w:right w:w="108" w:type="dxa"/>
          </w:tblCellMar>
        </w:tblPrEx>
        <w:trPr>
          <w:trHeight w:val="567" w:hRule="atLeast"/>
        </w:trPr>
        <w:tc>
          <w:tcPr>
            <w:tcW w:w="799" w:type="dxa"/>
          </w:tcPr>
          <w:p>
            <w:pPr>
              <w:pStyle w:val="76"/>
              <w:rPr>
                <w:rFonts w:ascii="仿宋" w:hAnsi="仿宋" w:eastAsia="仿宋"/>
                <w:sz w:val="21"/>
                <w:szCs w:val="21"/>
              </w:rPr>
            </w:pPr>
          </w:p>
        </w:tc>
        <w:tc>
          <w:tcPr>
            <w:tcW w:w="1996" w:type="dxa"/>
          </w:tcPr>
          <w:p>
            <w:pPr>
              <w:pStyle w:val="76"/>
              <w:rPr>
                <w:rFonts w:ascii="仿宋" w:hAnsi="仿宋" w:eastAsia="仿宋"/>
                <w:sz w:val="21"/>
                <w:szCs w:val="21"/>
              </w:rPr>
            </w:pPr>
          </w:p>
        </w:tc>
        <w:tc>
          <w:tcPr>
            <w:tcW w:w="2543" w:type="dxa"/>
          </w:tcPr>
          <w:p>
            <w:pPr>
              <w:pStyle w:val="76"/>
              <w:rPr>
                <w:rFonts w:ascii="仿宋" w:hAnsi="仿宋" w:eastAsia="仿宋"/>
                <w:sz w:val="21"/>
                <w:szCs w:val="21"/>
              </w:rPr>
            </w:pPr>
          </w:p>
        </w:tc>
        <w:tc>
          <w:tcPr>
            <w:tcW w:w="1604" w:type="dxa"/>
          </w:tcPr>
          <w:p>
            <w:pPr>
              <w:pStyle w:val="76"/>
              <w:rPr>
                <w:rFonts w:ascii="仿宋" w:hAnsi="仿宋" w:eastAsia="仿宋"/>
                <w:sz w:val="21"/>
                <w:szCs w:val="21"/>
              </w:rPr>
            </w:pPr>
          </w:p>
        </w:tc>
        <w:tc>
          <w:tcPr>
            <w:tcW w:w="1580" w:type="dxa"/>
          </w:tcPr>
          <w:p>
            <w:pPr>
              <w:pStyle w:val="76"/>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76"/>
              <w:rPr>
                <w:rFonts w:ascii="仿宋" w:hAnsi="仿宋" w:eastAsia="仿宋"/>
                <w:sz w:val="21"/>
                <w:szCs w:val="21"/>
              </w:rPr>
            </w:pPr>
          </w:p>
        </w:tc>
        <w:tc>
          <w:tcPr>
            <w:tcW w:w="1996" w:type="dxa"/>
          </w:tcPr>
          <w:p>
            <w:pPr>
              <w:pStyle w:val="76"/>
              <w:rPr>
                <w:rFonts w:ascii="仿宋" w:hAnsi="仿宋" w:eastAsia="仿宋"/>
                <w:sz w:val="21"/>
                <w:szCs w:val="21"/>
              </w:rPr>
            </w:pPr>
          </w:p>
        </w:tc>
        <w:tc>
          <w:tcPr>
            <w:tcW w:w="2543" w:type="dxa"/>
          </w:tcPr>
          <w:p>
            <w:pPr>
              <w:pStyle w:val="76"/>
              <w:rPr>
                <w:rFonts w:ascii="仿宋" w:hAnsi="仿宋" w:eastAsia="仿宋"/>
                <w:sz w:val="21"/>
                <w:szCs w:val="21"/>
              </w:rPr>
            </w:pPr>
          </w:p>
        </w:tc>
        <w:tc>
          <w:tcPr>
            <w:tcW w:w="1604" w:type="dxa"/>
          </w:tcPr>
          <w:p>
            <w:pPr>
              <w:pStyle w:val="76"/>
              <w:rPr>
                <w:rFonts w:ascii="仿宋" w:hAnsi="仿宋" w:eastAsia="仿宋"/>
                <w:sz w:val="21"/>
                <w:szCs w:val="21"/>
              </w:rPr>
            </w:pPr>
          </w:p>
        </w:tc>
        <w:tc>
          <w:tcPr>
            <w:tcW w:w="1580" w:type="dxa"/>
          </w:tcPr>
          <w:p>
            <w:pPr>
              <w:pStyle w:val="76"/>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76"/>
              <w:rPr>
                <w:rFonts w:ascii="仿宋" w:hAnsi="仿宋" w:eastAsia="仿宋"/>
                <w:sz w:val="21"/>
                <w:szCs w:val="21"/>
              </w:rPr>
            </w:pPr>
          </w:p>
        </w:tc>
        <w:tc>
          <w:tcPr>
            <w:tcW w:w="1996" w:type="dxa"/>
          </w:tcPr>
          <w:p>
            <w:pPr>
              <w:pStyle w:val="76"/>
              <w:rPr>
                <w:rFonts w:ascii="仿宋" w:hAnsi="仿宋" w:eastAsia="仿宋"/>
                <w:sz w:val="21"/>
                <w:szCs w:val="21"/>
              </w:rPr>
            </w:pPr>
          </w:p>
        </w:tc>
        <w:tc>
          <w:tcPr>
            <w:tcW w:w="2543" w:type="dxa"/>
          </w:tcPr>
          <w:p>
            <w:pPr>
              <w:pStyle w:val="76"/>
              <w:rPr>
                <w:rFonts w:ascii="仿宋" w:hAnsi="仿宋" w:eastAsia="仿宋"/>
                <w:sz w:val="21"/>
                <w:szCs w:val="21"/>
              </w:rPr>
            </w:pPr>
          </w:p>
        </w:tc>
        <w:tc>
          <w:tcPr>
            <w:tcW w:w="1604" w:type="dxa"/>
          </w:tcPr>
          <w:p>
            <w:pPr>
              <w:pStyle w:val="76"/>
              <w:rPr>
                <w:rFonts w:ascii="仿宋" w:hAnsi="仿宋" w:eastAsia="仿宋"/>
                <w:sz w:val="21"/>
                <w:szCs w:val="21"/>
              </w:rPr>
            </w:pPr>
          </w:p>
        </w:tc>
        <w:tc>
          <w:tcPr>
            <w:tcW w:w="1580" w:type="dxa"/>
          </w:tcPr>
          <w:p>
            <w:pPr>
              <w:pStyle w:val="76"/>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76"/>
              <w:rPr>
                <w:rFonts w:ascii="仿宋" w:hAnsi="仿宋" w:eastAsia="仿宋"/>
                <w:sz w:val="21"/>
                <w:szCs w:val="21"/>
              </w:rPr>
            </w:pPr>
          </w:p>
        </w:tc>
        <w:tc>
          <w:tcPr>
            <w:tcW w:w="1996" w:type="dxa"/>
          </w:tcPr>
          <w:p>
            <w:pPr>
              <w:pStyle w:val="76"/>
              <w:rPr>
                <w:rFonts w:ascii="仿宋" w:hAnsi="仿宋" w:eastAsia="仿宋"/>
                <w:sz w:val="21"/>
                <w:szCs w:val="21"/>
              </w:rPr>
            </w:pPr>
          </w:p>
        </w:tc>
        <w:tc>
          <w:tcPr>
            <w:tcW w:w="2543" w:type="dxa"/>
          </w:tcPr>
          <w:p>
            <w:pPr>
              <w:pStyle w:val="76"/>
              <w:rPr>
                <w:rFonts w:ascii="仿宋" w:hAnsi="仿宋" w:eastAsia="仿宋"/>
                <w:sz w:val="21"/>
                <w:szCs w:val="21"/>
              </w:rPr>
            </w:pPr>
          </w:p>
        </w:tc>
        <w:tc>
          <w:tcPr>
            <w:tcW w:w="1604" w:type="dxa"/>
          </w:tcPr>
          <w:p>
            <w:pPr>
              <w:pStyle w:val="76"/>
              <w:rPr>
                <w:rFonts w:ascii="仿宋" w:hAnsi="仿宋" w:eastAsia="仿宋"/>
                <w:sz w:val="21"/>
                <w:szCs w:val="21"/>
              </w:rPr>
            </w:pPr>
          </w:p>
        </w:tc>
        <w:tc>
          <w:tcPr>
            <w:tcW w:w="1580" w:type="dxa"/>
          </w:tcPr>
          <w:p>
            <w:pPr>
              <w:pStyle w:val="76"/>
              <w:rPr>
                <w:rFonts w:ascii="仿宋" w:hAnsi="仿宋" w:eastAsia="仿宋"/>
                <w:sz w:val="21"/>
                <w:szCs w:val="21"/>
              </w:rPr>
            </w:pPr>
          </w:p>
        </w:tc>
      </w:tr>
    </w:tbl>
    <w:p>
      <w:pPr>
        <w:spacing w:line="400" w:lineRule="exact"/>
        <w:ind w:left="674" w:leftChars="57" w:hanging="480" w:hangingChars="200"/>
        <w:rPr>
          <w:rFonts w:ascii="仿宋" w:hAnsi="仿宋" w:eastAsia="仿宋"/>
          <w:sz w:val="24"/>
        </w:rPr>
      </w:pPr>
      <w:r>
        <w:rPr>
          <w:rFonts w:hint="eastAsia" w:ascii="仿宋" w:hAnsi="仿宋" w:eastAsia="仿宋"/>
          <w:sz w:val="24"/>
        </w:rPr>
        <w:t>注：1. 供应商必须把招标项目的全部技术参数列入此表。</w:t>
      </w:r>
    </w:p>
    <w:p>
      <w:pPr>
        <w:spacing w:line="400" w:lineRule="exact"/>
        <w:ind w:left="969" w:leftChars="285"/>
        <w:rPr>
          <w:rFonts w:ascii="仿宋" w:hAnsi="仿宋" w:eastAsia="仿宋"/>
          <w:sz w:val="24"/>
        </w:rPr>
      </w:pPr>
      <w:r>
        <w:rPr>
          <w:rFonts w:hint="eastAsia" w:ascii="仿宋" w:hAnsi="仿宋" w:eastAsia="仿宋"/>
          <w:sz w:val="24"/>
        </w:rPr>
        <w:t>2．按照招标项目技术要求的顺序对应填写。</w:t>
      </w:r>
    </w:p>
    <w:p>
      <w:pPr>
        <w:spacing w:line="400" w:lineRule="exact"/>
        <w:ind w:left="969" w:leftChars="285"/>
        <w:rPr>
          <w:rFonts w:ascii="仿宋" w:hAnsi="仿宋" w:eastAsia="仿宋"/>
          <w:sz w:val="24"/>
        </w:rPr>
      </w:pPr>
      <w:r>
        <w:rPr>
          <w:rFonts w:hint="eastAsia" w:ascii="仿宋" w:hAnsi="仿宋" w:eastAsia="仿宋"/>
          <w:sz w:val="24"/>
        </w:rPr>
        <w:t>3．供应商必须据实填写，不得虚假响应，否则将取消其投标或中标资格，并按有关规定进行处罚。</w:t>
      </w:r>
    </w:p>
    <w:p>
      <w:pPr>
        <w:adjustRightInd w:val="0"/>
        <w:spacing w:line="400" w:lineRule="exact"/>
        <w:ind w:firstLine="490" w:firstLineChars="175"/>
        <w:jc w:val="left"/>
        <w:rPr>
          <w:rFonts w:ascii="仿宋" w:hAnsi="仿宋" w:eastAsia="仿宋"/>
          <w:bCs/>
          <w:sz w:val="28"/>
          <w:szCs w:val="28"/>
        </w:rPr>
      </w:pPr>
    </w:p>
    <w:p>
      <w:pPr>
        <w:adjustRightInd w:val="0"/>
        <w:spacing w:line="400" w:lineRule="exact"/>
        <w:ind w:firstLine="420" w:firstLineChars="175"/>
        <w:jc w:val="left"/>
        <w:rPr>
          <w:rFonts w:ascii="仿宋" w:hAnsi="仿宋" w:eastAsia="仿宋"/>
          <w:bCs/>
          <w:sz w:val="24"/>
        </w:rPr>
      </w:pPr>
      <w:r>
        <w:rPr>
          <w:rFonts w:hint="eastAsia" w:ascii="仿宋" w:hAnsi="仿宋" w:eastAsia="仿宋"/>
          <w:bCs/>
          <w:sz w:val="24"/>
        </w:rPr>
        <w:t>投标人名称：        （盖章）</w:t>
      </w:r>
    </w:p>
    <w:p>
      <w:pPr>
        <w:spacing w:line="400" w:lineRule="exact"/>
        <w:ind w:firstLine="360" w:firstLineChars="150"/>
        <w:rPr>
          <w:rFonts w:ascii="仿宋" w:hAnsi="仿宋" w:eastAsia="仿宋"/>
          <w:bCs/>
          <w:sz w:val="24"/>
        </w:rPr>
      </w:pPr>
      <w:r>
        <w:rPr>
          <w:rFonts w:hint="eastAsia" w:ascii="仿宋" w:hAnsi="仿宋" w:eastAsia="仿宋"/>
          <w:sz w:val="24"/>
        </w:rPr>
        <w:t>法定代表人或授权代表（签字）</w:t>
      </w:r>
      <w:r>
        <w:rPr>
          <w:rFonts w:hint="eastAsia" w:ascii="仿宋" w:hAnsi="仿宋" w:eastAsia="仿宋"/>
          <w:bCs/>
          <w:sz w:val="24"/>
        </w:rPr>
        <w:t>：</w:t>
      </w:r>
    </w:p>
    <w:p>
      <w:pPr>
        <w:spacing w:line="400" w:lineRule="exact"/>
        <w:ind w:firstLine="360" w:firstLineChars="150"/>
        <w:rPr>
          <w:rFonts w:ascii="仿宋" w:hAnsi="仿宋" w:eastAsia="仿宋"/>
          <w:bCs/>
          <w:sz w:val="24"/>
        </w:rPr>
      </w:pPr>
      <w:r>
        <w:rPr>
          <w:rFonts w:hint="eastAsia" w:ascii="仿宋" w:hAnsi="仿宋" w:eastAsia="仿宋"/>
          <w:bCs/>
          <w:sz w:val="24"/>
        </w:rPr>
        <w:t>投标日期：</w:t>
      </w:r>
    </w:p>
    <w:p>
      <w:pPr>
        <w:adjustRightInd w:val="0"/>
        <w:spacing w:line="400" w:lineRule="exact"/>
        <w:ind w:firstLine="420" w:firstLineChars="175"/>
        <w:jc w:val="left"/>
        <w:rPr>
          <w:rFonts w:ascii="仿宋" w:hAnsi="仿宋" w:eastAsia="仿宋"/>
          <w:bCs/>
          <w:sz w:val="24"/>
        </w:rPr>
      </w:pPr>
    </w:p>
    <w:p>
      <w:pPr>
        <w:spacing w:line="400" w:lineRule="exact"/>
        <w:ind w:firstLine="480" w:firstLineChars="200"/>
        <w:rPr>
          <w:rFonts w:ascii="仿宋" w:hAnsi="仿宋" w:eastAsia="仿宋"/>
          <w:bCs/>
          <w:sz w:val="24"/>
        </w:rPr>
      </w:pPr>
    </w:p>
    <w:p>
      <w:pPr>
        <w:spacing w:line="400" w:lineRule="exact"/>
        <w:ind w:firstLine="480" w:firstLineChars="200"/>
        <w:rPr>
          <w:rFonts w:ascii="仿宋" w:hAnsi="仿宋" w:eastAsia="仿宋"/>
          <w:bCs/>
          <w:sz w:val="24"/>
        </w:rPr>
      </w:pPr>
    </w:p>
    <w:p>
      <w:pPr>
        <w:spacing w:line="400" w:lineRule="exact"/>
        <w:ind w:firstLine="480" w:firstLineChars="200"/>
        <w:rPr>
          <w:rFonts w:ascii="仿宋" w:hAnsi="仿宋" w:eastAsia="仿宋"/>
          <w:bCs/>
          <w:sz w:val="24"/>
        </w:rPr>
      </w:pPr>
    </w:p>
    <w:p>
      <w:pPr>
        <w:spacing w:line="400" w:lineRule="exact"/>
        <w:ind w:firstLine="480" w:firstLineChars="200"/>
        <w:rPr>
          <w:rFonts w:ascii="仿宋" w:hAnsi="仿宋" w:eastAsia="仿宋"/>
          <w:bCs/>
          <w:sz w:val="24"/>
        </w:rPr>
      </w:pPr>
    </w:p>
    <w:p>
      <w:pPr>
        <w:spacing w:line="400" w:lineRule="exact"/>
        <w:ind w:firstLine="480" w:firstLineChars="200"/>
        <w:rPr>
          <w:rFonts w:ascii="仿宋" w:hAnsi="仿宋" w:eastAsia="仿宋"/>
          <w:bCs/>
          <w:sz w:val="24"/>
        </w:rPr>
      </w:pPr>
    </w:p>
    <w:p>
      <w:pPr>
        <w:spacing w:line="400" w:lineRule="exact"/>
        <w:ind w:firstLine="480" w:firstLineChars="200"/>
        <w:rPr>
          <w:rFonts w:ascii="仿宋" w:hAnsi="仿宋" w:eastAsia="仿宋"/>
          <w:bCs/>
          <w:sz w:val="24"/>
        </w:rPr>
      </w:pPr>
    </w:p>
    <w:p>
      <w:pPr>
        <w:spacing w:line="400" w:lineRule="exact"/>
        <w:ind w:firstLine="480" w:firstLineChars="200"/>
        <w:rPr>
          <w:rFonts w:ascii="仿宋" w:hAnsi="仿宋" w:eastAsia="仿宋"/>
          <w:bCs/>
          <w:sz w:val="24"/>
        </w:rPr>
      </w:pPr>
    </w:p>
    <w:p>
      <w:pPr>
        <w:spacing w:line="400" w:lineRule="exact"/>
        <w:ind w:firstLine="480" w:firstLineChars="200"/>
        <w:rPr>
          <w:rFonts w:ascii="仿宋" w:hAnsi="仿宋" w:eastAsia="仿宋"/>
          <w:bCs/>
          <w:sz w:val="24"/>
        </w:rPr>
      </w:pPr>
    </w:p>
    <w:p>
      <w:pPr>
        <w:spacing w:line="400" w:lineRule="exact"/>
        <w:ind w:firstLine="480" w:firstLineChars="200"/>
        <w:rPr>
          <w:rFonts w:ascii="仿宋" w:hAnsi="仿宋" w:eastAsia="仿宋"/>
          <w:bCs/>
          <w:sz w:val="24"/>
        </w:rPr>
      </w:pPr>
    </w:p>
    <w:p>
      <w:pPr>
        <w:pStyle w:val="3"/>
        <w:spacing w:line="400" w:lineRule="exact"/>
        <w:jc w:val="center"/>
        <w:rPr>
          <w:rFonts w:ascii="仿宋" w:hAnsi="仿宋" w:eastAsia="仿宋" w:cs="Arial"/>
          <w:szCs w:val="28"/>
        </w:rPr>
      </w:pPr>
      <w:bookmarkStart w:id="163" w:name="_Toc217446091"/>
      <w:r>
        <w:rPr>
          <w:rFonts w:hint="eastAsia" w:ascii="仿宋" w:hAnsi="仿宋" w:eastAsia="仿宋"/>
          <w:bCs w:val="0"/>
          <w:szCs w:val="28"/>
        </w:rPr>
        <w:t>九、投标人本项目管理、技术、服务人员情况表</w:t>
      </w:r>
      <w:bookmarkEnd w:id="163"/>
    </w:p>
    <w:p>
      <w:pPr>
        <w:spacing w:line="400" w:lineRule="exact"/>
        <w:rPr>
          <w:rFonts w:ascii="仿宋" w:hAnsi="仿宋" w:eastAsia="仿宋" w:cs="Arial"/>
          <w:b/>
          <w:bCs/>
          <w:sz w:val="28"/>
        </w:rPr>
      </w:pPr>
    </w:p>
    <w:p>
      <w:pPr>
        <w:spacing w:line="400" w:lineRule="exact"/>
        <w:rPr>
          <w:rFonts w:ascii="仿宋" w:hAnsi="仿宋" w:eastAsia="仿宋" w:cs="Arial"/>
          <w:bCs/>
          <w:sz w:val="24"/>
        </w:rPr>
      </w:pPr>
      <w:r>
        <w:rPr>
          <w:rFonts w:hint="eastAsia" w:ascii="仿宋" w:hAnsi="仿宋" w:eastAsia="仿宋" w:cs="Arial"/>
          <w:bCs/>
          <w:sz w:val="24"/>
        </w:rPr>
        <w:t xml:space="preserve">招标编号：                                         </w:t>
      </w:r>
    </w:p>
    <w:p>
      <w:pPr>
        <w:spacing w:line="400" w:lineRule="exact"/>
        <w:ind w:firstLine="480" w:firstLineChars="200"/>
        <w:rPr>
          <w:rFonts w:ascii="仿宋" w:hAnsi="仿宋" w:eastAsia="仿宋" w:cs="Arial"/>
          <w:bCs/>
          <w:sz w:val="24"/>
        </w:rPr>
      </w:pPr>
      <w:r>
        <w:rPr>
          <w:rFonts w:hint="eastAsia" w:ascii="仿宋" w:hAnsi="仿宋" w:eastAsia="仿宋" w:cs="Arial"/>
          <w:bCs/>
          <w:sz w:val="24"/>
        </w:rPr>
        <w:t xml:space="preserve">包号：                                       </w:t>
      </w:r>
    </w:p>
    <w:tbl>
      <w:tblPr>
        <w:tblStyle w:val="31"/>
        <w:tblW w:w="7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34"/>
        <w:gridCol w:w="1276"/>
        <w:gridCol w:w="1276"/>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restart"/>
            <w:vAlign w:val="center"/>
          </w:tcPr>
          <w:p>
            <w:pPr>
              <w:pStyle w:val="76"/>
              <w:rPr>
                <w:rFonts w:ascii="仿宋" w:hAnsi="仿宋" w:eastAsia="仿宋"/>
                <w:sz w:val="21"/>
                <w:szCs w:val="21"/>
              </w:rPr>
            </w:pPr>
            <w:r>
              <w:rPr>
                <w:rFonts w:hint="eastAsia" w:ascii="仿宋" w:hAnsi="仿宋" w:eastAsia="仿宋"/>
                <w:sz w:val="21"/>
                <w:szCs w:val="21"/>
              </w:rPr>
              <w:t>类别</w:t>
            </w:r>
          </w:p>
        </w:tc>
        <w:tc>
          <w:tcPr>
            <w:tcW w:w="1134" w:type="dxa"/>
            <w:vMerge w:val="restart"/>
            <w:vAlign w:val="center"/>
          </w:tcPr>
          <w:p>
            <w:pPr>
              <w:pStyle w:val="76"/>
              <w:rPr>
                <w:rFonts w:ascii="仿宋" w:hAnsi="仿宋" w:eastAsia="仿宋"/>
                <w:sz w:val="21"/>
                <w:szCs w:val="21"/>
              </w:rPr>
            </w:pPr>
            <w:r>
              <w:rPr>
                <w:rFonts w:hint="eastAsia" w:ascii="仿宋" w:hAnsi="仿宋" w:eastAsia="仿宋"/>
                <w:sz w:val="21"/>
                <w:szCs w:val="21"/>
              </w:rPr>
              <w:t>职务</w:t>
            </w:r>
          </w:p>
        </w:tc>
        <w:tc>
          <w:tcPr>
            <w:tcW w:w="1276" w:type="dxa"/>
            <w:vMerge w:val="restart"/>
            <w:vAlign w:val="center"/>
          </w:tcPr>
          <w:p>
            <w:pPr>
              <w:pStyle w:val="76"/>
              <w:rPr>
                <w:rFonts w:ascii="仿宋" w:hAnsi="仿宋" w:eastAsia="仿宋"/>
                <w:sz w:val="21"/>
                <w:szCs w:val="21"/>
              </w:rPr>
            </w:pPr>
            <w:r>
              <w:rPr>
                <w:rFonts w:hint="eastAsia" w:ascii="仿宋" w:hAnsi="仿宋" w:eastAsia="仿宋"/>
                <w:sz w:val="21"/>
                <w:szCs w:val="21"/>
              </w:rPr>
              <w:t>姓名</w:t>
            </w:r>
          </w:p>
        </w:tc>
        <w:tc>
          <w:tcPr>
            <w:tcW w:w="1276" w:type="dxa"/>
            <w:vMerge w:val="restart"/>
            <w:vAlign w:val="center"/>
          </w:tcPr>
          <w:p>
            <w:pPr>
              <w:pStyle w:val="76"/>
              <w:rPr>
                <w:rFonts w:ascii="仿宋" w:hAnsi="仿宋" w:eastAsia="仿宋"/>
                <w:sz w:val="21"/>
                <w:szCs w:val="21"/>
              </w:rPr>
            </w:pPr>
            <w:r>
              <w:rPr>
                <w:rFonts w:hint="eastAsia" w:ascii="仿宋" w:hAnsi="仿宋" w:eastAsia="仿宋"/>
                <w:sz w:val="21"/>
                <w:szCs w:val="21"/>
              </w:rPr>
              <w:t>职称</w:t>
            </w:r>
          </w:p>
        </w:tc>
        <w:tc>
          <w:tcPr>
            <w:tcW w:w="2147" w:type="dxa"/>
            <w:vMerge w:val="restart"/>
            <w:vAlign w:val="center"/>
          </w:tcPr>
          <w:p>
            <w:pPr>
              <w:pStyle w:val="76"/>
              <w:rPr>
                <w:rFonts w:ascii="仿宋" w:hAnsi="仿宋" w:eastAsia="仿宋"/>
                <w:sz w:val="21"/>
                <w:szCs w:val="21"/>
              </w:rPr>
            </w:pPr>
            <w:r>
              <w:rPr>
                <w:rFonts w:hint="eastAsia" w:ascii="仿宋" w:hAnsi="仿宋" w:eastAsia="仿宋"/>
                <w:sz w:val="21"/>
                <w:szCs w:val="21"/>
              </w:rPr>
              <w:t>常住地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vAlign w:val="center"/>
          </w:tcPr>
          <w:p>
            <w:pPr>
              <w:pStyle w:val="76"/>
              <w:ind w:firstLine="420" w:firstLineChars="200"/>
              <w:rPr>
                <w:rFonts w:ascii="仿宋" w:hAnsi="仿宋" w:eastAsia="仿宋"/>
                <w:sz w:val="21"/>
                <w:szCs w:val="21"/>
              </w:rPr>
            </w:pPr>
          </w:p>
        </w:tc>
        <w:tc>
          <w:tcPr>
            <w:tcW w:w="1134" w:type="dxa"/>
            <w:vMerge w:val="continue"/>
            <w:vAlign w:val="center"/>
          </w:tcPr>
          <w:p>
            <w:pPr>
              <w:pStyle w:val="76"/>
              <w:ind w:firstLine="420" w:firstLineChars="200"/>
              <w:rPr>
                <w:rFonts w:ascii="仿宋" w:hAnsi="仿宋" w:eastAsia="仿宋"/>
                <w:sz w:val="21"/>
                <w:szCs w:val="21"/>
              </w:rPr>
            </w:pPr>
          </w:p>
        </w:tc>
        <w:tc>
          <w:tcPr>
            <w:tcW w:w="1276" w:type="dxa"/>
            <w:vMerge w:val="continue"/>
            <w:vAlign w:val="center"/>
          </w:tcPr>
          <w:p>
            <w:pPr>
              <w:pStyle w:val="76"/>
              <w:ind w:firstLine="420" w:firstLineChars="200"/>
              <w:rPr>
                <w:rFonts w:ascii="仿宋" w:hAnsi="仿宋" w:eastAsia="仿宋"/>
                <w:sz w:val="21"/>
                <w:szCs w:val="21"/>
              </w:rPr>
            </w:pPr>
          </w:p>
        </w:tc>
        <w:tc>
          <w:tcPr>
            <w:tcW w:w="1276" w:type="dxa"/>
            <w:vMerge w:val="continue"/>
            <w:vAlign w:val="center"/>
          </w:tcPr>
          <w:p>
            <w:pPr>
              <w:pStyle w:val="76"/>
              <w:ind w:firstLine="420" w:firstLineChars="200"/>
              <w:rPr>
                <w:rFonts w:ascii="仿宋" w:hAnsi="仿宋" w:eastAsia="仿宋"/>
                <w:sz w:val="21"/>
                <w:szCs w:val="21"/>
              </w:rPr>
            </w:pPr>
          </w:p>
        </w:tc>
        <w:tc>
          <w:tcPr>
            <w:tcW w:w="2147" w:type="dxa"/>
            <w:vMerge w:val="continue"/>
            <w:vAlign w:val="center"/>
          </w:tcPr>
          <w:p>
            <w:pPr>
              <w:pStyle w:val="76"/>
              <w:ind w:firstLine="420" w:firstLineChars="20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restart"/>
          </w:tcPr>
          <w:p>
            <w:pPr>
              <w:pStyle w:val="76"/>
              <w:rPr>
                <w:rFonts w:ascii="仿宋" w:hAnsi="仿宋" w:eastAsia="仿宋"/>
                <w:sz w:val="21"/>
                <w:szCs w:val="21"/>
              </w:rPr>
            </w:pPr>
            <w:r>
              <w:rPr>
                <w:rFonts w:hint="eastAsia" w:ascii="仿宋" w:hAnsi="仿宋" w:eastAsia="仿宋"/>
                <w:sz w:val="21"/>
                <w:szCs w:val="21"/>
              </w:rPr>
              <w:t>管</w:t>
            </w:r>
          </w:p>
          <w:p>
            <w:pPr>
              <w:pStyle w:val="76"/>
              <w:rPr>
                <w:rFonts w:ascii="仿宋" w:hAnsi="仿宋" w:eastAsia="仿宋"/>
                <w:sz w:val="21"/>
                <w:szCs w:val="21"/>
              </w:rPr>
            </w:pPr>
            <w:r>
              <w:rPr>
                <w:rFonts w:hint="eastAsia" w:ascii="仿宋" w:hAnsi="仿宋" w:eastAsia="仿宋"/>
                <w:sz w:val="21"/>
                <w:szCs w:val="21"/>
              </w:rPr>
              <w:t>理</w:t>
            </w:r>
          </w:p>
          <w:p>
            <w:pPr>
              <w:pStyle w:val="76"/>
              <w:rPr>
                <w:rFonts w:ascii="仿宋" w:hAnsi="仿宋" w:eastAsia="仿宋"/>
                <w:sz w:val="21"/>
                <w:szCs w:val="21"/>
              </w:rPr>
            </w:pPr>
            <w:r>
              <w:rPr>
                <w:rFonts w:hint="eastAsia" w:ascii="仿宋" w:hAnsi="仿宋" w:eastAsia="仿宋"/>
                <w:sz w:val="21"/>
                <w:szCs w:val="21"/>
              </w:rPr>
              <w:t>人</w:t>
            </w:r>
          </w:p>
          <w:p>
            <w:pPr>
              <w:pStyle w:val="76"/>
              <w:rPr>
                <w:rFonts w:ascii="仿宋" w:hAnsi="仿宋" w:eastAsia="仿宋"/>
                <w:sz w:val="21"/>
                <w:szCs w:val="21"/>
              </w:rPr>
            </w:pPr>
            <w:r>
              <w:rPr>
                <w:rFonts w:hint="eastAsia" w:ascii="仿宋" w:hAnsi="仿宋" w:eastAsia="仿宋"/>
                <w:sz w:val="21"/>
                <w:szCs w:val="21"/>
              </w:rPr>
              <w:t>员</w:t>
            </w:r>
          </w:p>
        </w:tc>
        <w:tc>
          <w:tcPr>
            <w:tcW w:w="1134"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2147"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tcPr>
          <w:p>
            <w:pPr>
              <w:pStyle w:val="76"/>
              <w:ind w:firstLine="420" w:firstLineChars="200"/>
              <w:rPr>
                <w:rFonts w:ascii="仿宋" w:hAnsi="仿宋" w:eastAsia="仿宋"/>
                <w:sz w:val="21"/>
                <w:szCs w:val="21"/>
              </w:rPr>
            </w:pPr>
          </w:p>
        </w:tc>
        <w:tc>
          <w:tcPr>
            <w:tcW w:w="1134"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2147"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continue"/>
          </w:tcPr>
          <w:p>
            <w:pPr>
              <w:pStyle w:val="76"/>
              <w:ind w:firstLine="420" w:firstLineChars="200"/>
              <w:rPr>
                <w:rFonts w:ascii="仿宋" w:hAnsi="仿宋" w:eastAsia="仿宋"/>
                <w:sz w:val="21"/>
                <w:szCs w:val="21"/>
              </w:rPr>
            </w:pPr>
          </w:p>
        </w:tc>
        <w:tc>
          <w:tcPr>
            <w:tcW w:w="1134"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2147"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restart"/>
          </w:tcPr>
          <w:p>
            <w:pPr>
              <w:pStyle w:val="76"/>
              <w:rPr>
                <w:rFonts w:ascii="仿宋" w:hAnsi="仿宋" w:eastAsia="仿宋"/>
                <w:sz w:val="21"/>
                <w:szCs w:val="21"/>
              </w:rPr>
            </w:pPr>
            <w:r>
              <w:rPr>
                <w:rFonts w:hint="eastAsia" w:ascii="仿宋" w:hAnsi="仿宋" w:eastAsia="仿宋"/>
                <w:sz w:val="21"/>
                <w:szCs w:val="21"/>
              </w:rPr>
              <w:t>技</w:t>
            </w:r>
          </w:p>
          <w:p>
            <w:pPr>
              <w:pStyle w:val="76"/>
              <w:rPr>
                <w:rFonts w:ascii="仿宋" w:hAnsi="仿宋" w:eastAsia="仿宋"/>
                <w:sz w:val="21"/>
                <w:szCs w:val="21"/>
              </w:rPr>
            </w:pPr>
            <w:r>
              <w:rPr>
                <w:rFonts w:hint="eastAsia" w:ascii="仿宋" w:hAnsi="仿宋" w:eastAsia="仿宋"/>
                <w:sz w:val="21"/>
                <w:szCs w:val="21"/>
              </w:rPr>
              <w:t>术</w:t>
            </w:r>
          </w:p>
          <w:p>
            <w:pPr>
              <w:pStyle w:val="76"/>
              <w:rPr>
                <w:rFonts w:ascii="仿宋" w:hAnsi="仿宋" w:eastAsia="仿宋"/>
                <w:sz w:val="21"/>
                <w:szCs w:val="21"/>
              </w:rPr>
            </w:pPr>
            <w:r>
              <w:rPr>
                <w:rFonts w:hint="eastAsia" w:ascii="仿宋" w:hAnsi="仿宋" w:eastAsia="仿宋"/>
                <w:sz w:val="21"/>
                <w:szCs w:val="21"/>
              </w:rPr>
              <w:t>人</w:t>
            </w:r>
          </w:p>
          <w:p>
            <w:pPr>
              <w:pStyle w:val="76"/>
              <w:rPr>
                <w:rFonts w:ascii="仿宋" w:hAnsi="仿宋" w:eastAsia="仿宋"/>
                <w:sz w:val="21"/>
                <w:szCs w:val="21"/>
              </w:rPr>
            </w:pPr>
            <w:r>
              <w:rPr>
                <w:rFonts w:hint="eastAsia" w:ascii="仿宋" w:hAnsi="仿宋" w:eastAsia="仿宋"/>
                <w:sz w:val="21"/>
                <w:szCs w:val="21"/>
              </w:rPr>
              <w:t>员</w:t>
            </w:r>
          </w:p>
        </w:tc>
        <w:tc>
          <w:tcPr>
            <w:tcW w:w="1134"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2147"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continue"/>
          </w:tcPr>
          <w:p>
            <w:pPr>
              <w:pStyle w:val="76"/>
              <w:ind w:firstLine="420" w:firstLineChars="200"/>
              <w:rPr>
                <w:rFonts w:ascii="仿宋" w:hAnsi="仿宋" w:eastAsia="仿宋"/>
                <w:sz w:val="21"/>
                <w:szCs w:val="21"/>
              </w:rPr>
            </w:pPr>
          </w:p>
        </w:tc>
        <w:tc>
          <w:tcPr>
            <w:tcW w:w="1134"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2147"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tcPr>
          <w:p>
            <w:pPr>
              <w:pStyle w:val="76"/>
              <w:ind w:firstLine="420" w:firstLineChars="200"/>
              <w:rPr>
                <w:rFonts w:ascii="仿宋" w:hAnsi="仿宋" w:eastAsia="仿宋"/>
                <w:sz w:val="21"/>
                <w:szCs w:val="21"/>
              </w:rPr>
            </w:pPr>
          </w:p>
        </w:tc>
        <w:tc>
          <w:tcPr>
            <w:tcW w:w="1134"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2147"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restart"/>
          </w:tcPr>
          <w:p>
            <w:pPr>
              <w:pStyle w:val="76"/>
              <w:rPr>
                <w:rFonts w:ascii="仿宋" w:hAnsi="仿宋" w:eastAsia="仿宋"/>
                <w:sz w:val="21"/>
                <w:szCs w:val="21"/>
              </w:rPr>
            </w:pPr>
            <w:r>
              <w:rPr>
                <w:rFonts w:hint="eastAsia" w:ascii="仿宋" w:hAnsi="仿宋" w:eastAsia="仿宋"/>
                <w:sz w:val="21"/>
                <w:szCs w:val="21"/>
              </w:rPr>
              <w:t>售后</w:t>
            </w:r>
          </w:p>
          <w:p>
            <w:pPr>
              <w:pStyle w:val="76"/>
              <w:rPr>
                <w:rFonts w:ascii="仿宋" w:hAnsi="仿宋" w:eastAsia="仿宋"/>
                <w:sz w:val="21"/>
                <w:szCs w:val="21"/>
              </w:rPr>
            </w:pPr>
            <w:r>
              <w:rPr>
                <w:rFonts w:hint="eastAsia" w:ascii="仿宋" w:hAnsi="仿宋" w:eastAsia="仿宋"/>
                <w:sz w:val="21"/>
                <w:szCs w:val="21"/>
              </w:rPr>
              <w:t>服务</w:t>
            </w:r>
          </w:p>
          <w:p>
            <w:pPr>
              <w:pStyle w:val="76"/>
              <w:rPr>
                <w:rFonts w:ascii="仿宋" w:hAnsi="仿宋" w:eastAsia="仿宋"/>
                <w:sz w:val="21"/>
                <w:szCs w:val="21"/>
              </w:rPr>
            </w:pPr>
            <w:r>
              <w:rPr>
                <w:rFonts w:hint="eastAsia" w:ascii="仿宋" w:hAnsi="仿宋" w:eastAsia="仿宋"/>
                <w:sz w:val="21"/>
                <w:szCs w:val="21"/>
              </w:rPr>
              <w:t>人员</w:t>
            </w:r>
          </w:p>
        </w:tc>
        <w:tc>
          <w:tcPr>
            <w:tcW w:w="1134"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sz w:val="28"/>
              </w:rPr>
            </w:pPr>
          </w:p>
        </w:tc>
        <w:tc>
          <w:tcPr>
            <w:tcW w:w="2147"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tcPr>
          <w:p>
            <w:pPr>
              <w:spacing w:line="400" w:lineRule="exact"/>
              <w:jc w:val="center"/>
              <w:rPr>
                <w:rFonts w:ascii="仿宋" w:hAnsi="仿宋" w:eastAsia="仿宋" w:cs="Arial"/>
                <w:sz w:val="28"/>
              </w:rPr>
            </w:pPr>
          </w:p>
        </w:tc>
        <w:tc>
          <w:tcPr>
            <w:tcW w:w="1134"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b/>
                <w:bCs/>
                <w:sz w:val="28"/>
              </w:rPr>
            </w:pPr>
          </w:p>
        </w:tc>
        <w:tc>
          <w:tcPr>
            <w:tcW w:w="1276" w:type="dxa"/>
          </w:tcPr>
          <w:p>
            <w:pPr>
              <w:spacing w:line="400" w:lineRule="exact"/>
              <w:jc w:val="center"/>
              <w:rPr>
                <w:rFonts w:ascii="仿宋" w:hAnsi="仿宋" w:eastAsia="仿宋" w:cs="Arial"/>
                <w:b/>
                <w:bCs/>
                <w:sz w:val="28"/>
              </w:rPr>
            </w:pPr>
          </w:p>
        </w:tc>
        <w:tc>
          <w:tcPr>
            <w:tcW w:w="2147" w:type="dxa"/>
          </w:tcPr>
          <w:p>
            <w:pPr>
              <w:spacing w:line="400" w:lineRule="exact"/>
              <w:jc w:val="center"/>
              <w:rPr>
                <w:rFonts w:ascii="仿宋" w:hAnsi="仿宋" w:eastAsia="仿宋" w:cs="Arial"/>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continue"/>
          </w:tcPr>
          <w:p>
            <w:pPr>
              <w:spacing w:line="400" w:lineRule="exact"/>
              <w:jc w:val="center"/>
              <w:rPr>
                <w:rFonts w:ascii="仿宋" w:hAnsi="仿宋" w:eastAsia="仿宋" w:cs="Arial"/>
                <w:sz w:val="28"/>
              </w:rPr>
            </w:pPr>
          </w:p>
        </w:tc>
        <w:tc>
          <w:tcPr>
            <w:tcW w:w="1134" w:type="dxa"/>
          </w:tcPr>
          <w:p>
            <w:pPr>
              <w:spacing w:line="400" w:lineRule="exact"/>
              <w:jc w:val="center"/>
              <w:rPr>
                <w:rFonts w:ascii="仿宋" w:hAnsi="仿宋" w:eastAsia="仿宋" w:cs="Arial"/>
                <w:sz w:val="28"/>
              </w:rPr>
            </w:pPr>
          </w:p>
        </w:tc>
        <w:tc>
          <w:tcPr>
            <w:tcW w:w="1276" w:type="dxa"/>
          </w:tcPr>
          <w:p>
            <w:pPr>
              <w:spacing w:line="400" w:lineRule="exact"/>
              <w:jc w:val="center"/>
              <w:rPr>
                <w:rFonts w:ascii="仿宋" w:hAnsi="仿宋" w:eastAsia="仿宋" w:cs="Arial"/>
                <w:b/>
                <w:bCs/>
                <w:sz w:val="28"/>
              </w:rPr>
            </w:pPr>
          </w:p>
        </w:tc>
        <w:tc>
          <w:tcPr>
            <w:tcW w:w="1276" w:type="dxa"/>
          </w:tcPr>
          <w:p>
            <w:pPr>
              <w:spacing w:line="400" w:lineRule="exact"/>
              <w:jc w:val="center"/>
              <w:rPr>
                <w:rFonts w:ascii="仿宋" w:hAnsi="仿宋" w:eastAsia="仿宋" w:cs="Arial"/>
                <w:b/>
                <w:bCs/>
                <w:sz w:val="28"/>
              </w:rPr>
            </w:pPr>
          </w:p>
        </w:tc>
        <w:tc>
          <w:tcPr>
            <w:tcW w:w="2147" w:type="dxa"/>
          </w:tcPr>
          <w:p>
            <w:pPr>
              <w:spacing w:line="400" w:lineRule="exact"/>
              <w:jc w:val="center"/>
              <w:rPr>
                <w:rFonts w:ascii="仿宋" w:hAnsi="仿宋" w:eastAsia="仿宋" w:cs="Arial"/>
                <w:b/>
                <w:bCs/>
                <w:sz w:val="28"/>
              </w:rPr>
            </w:pPr>
          </w:p>
        </w:tc>
      </w:tr>
    </w:tbl>
    <w:p>
      <w:pPr>
        <w:spacing w:line="400" w:lineRule="exact"/>
        <w:jc w:val="center"/>
        <w:rPr>
          <w:rFonts w:ascii="仿宋" w:hAnsi="仿宋" w:eastAsia="仿宋" w:cs="Arial"/>
          <w:b/>
          <w:bCs/>
          <w:sz w:val="28"/>
        </w:rPr>
      </w:pPr>
    </w:p>
    <w:p>
      <w:pPr>
        <w:spacing w:line="400" w:lineRule="exact"/>
        <w:jc w:val="center"/>
        <w:rPr>
          <w:rFonts w:ascii="仿宋" w:hAnsi="仿宋" w:eastAsia="仿宋" w:cs="Arial"/>
          <w:b/>
          <w:bCs/>
          <w:sz w:val="28"/>
        </w:rPr>
      </w:pPr>
    </w:p>
    <w:p>
      <w:pPr>
        <w:spacing w:line="400" w:lineRule="exact"/>
        <w:jc w:val="center"/>
        <w:rPr>
          <w:rFonts w:ascii="仿宋" w:hAnsi="仿宋" w:eastAsia="仿宋" w:cs="Arial"/>
          <w:b/>
          <w:bCs/>
          <w:sz w:val="28"/>
        </w:rPr>
      </w:pPr>
    </w:p>
    <w:p>
      <w:pPr>
        <w:spacing w:line="400" w:lineRule="exact"/>
        <w:jc w:val="center"/>
        <w:rPr>
          <w:rFonts w:ascii="仿宋" w:hAnsi="仿宋" w:eastAsia="仿宋" w:cs="Arial"/>
          <w:b/>
          <w:bCs/>
          <w:sz w:val="28"/>
        </w:rPr>
      </w:pPr>
    </w:p>
    <w:p>
      <w:pPr>
        <w:spacing w:line="400" w:lineRule="exact"/>
        <w:jc w:val="center"/>
        <w:rPr>
          <w:rFonts w:ascii="仿宋" w:hAnsi="仿宋" w:eastAsia="仿宋" w:cs="Arial"/>
          <w:b/>
          <w:bCs/>
          <w:sz w:val="28"/>
        </w:rPr>
      </w:pPr>
    </w:p>
    <w:p>
      <w:pPr>
        <w:adjustRightInd w:val="0"/>
        <w:spacing w:line="400" w:lineRule="exact"/>
        <w:ind w:firstLine="900" w:firstLineChars="375"/>
        <w:jc w:val="left"/>
        <w:rPr>
          <w:rFonts w:ascii="仿宋" w:hAnsi="仿宋" w:eastAsia="仿宋"/>
          <w:bCs/>
          <w:sz w:val="24"/>
        </w:rPr>
      </w:pPr>
      <w:r>
        <w:rPr>
          <w:rFonts w:hint="eastAsia" w:ascii="仿宋" w:hAnsi="仿宋" w:eastAsia="仿宋"/>
          <w:bCs/>
          <w:sz w:val="24"/>
        </w:rPr>
        <w:t>投标人名称：        （盖章）</w:t>
      </w:r>
    </w:p>
    <w:p>
      <w:pPr>
        <w:adjustRightInd w:val="0"/>
        <w:spacing w:line="400" w:lineRule="exact"/>
        <w:ind w:firstLine="900" w:firstLineChars="375"/>
        <w:jc w:val="left"/>
        <w:rPr>
          <w:rFonts w:ascii="仿宋" w:hAnsi="仿宋" w:eastAsia="仿宋"/>
          <w:bCs/>
          <w:sz w:val="24"/>
        </w:rPr>
      </w:pPr>
      <w:r>
        <w:rPr>
          <w:rFonts w:hint="eastAsia" w:ascii="仿宋" w:hAnsi="仿宋" w:eastAsia="仿宋"/>
          <w:sz w:val="24"/>
        </w:rPr>
        <w:t>法定代表人或授权代表（签字）</w:t>
      </w:r>
      <w:r>
        <w:rPr>
          <w:rFonts w:hint="eastAsia" w:ascii="仿宋" w:hAnsi="仿宋" w:eastAsia="仿宋"/>
          <w:bCs/>
          <w:sz w:val="24"/>
        </w:rPr>
        <w:t>：</w:t>
      </w:r>
    </w:p>
    <w:p>
      <w:pPr>
        <w:adjustRightInd w:val="0"/>
        <w:spacing w:line="400" w:lineRule="exact"/>
        <w:ind w:firstLine="900" w:firstLineChars="375"/>
        <w:jc w:val="left"/>
        <w:rPr>
          <w:rFonts w:ascii="仿宋" w:hAnsi="仿宋" w:eastAsia="仿宋"/>
          <w:bCs/>
          <w:sz w:val="24"/>
        </w:rPr>
      </w:pPr>
      <w:r>
        <w:rPr>
          <w:rFonts w:hint="eastAsia" w:ascii="仿宋" w:hAnsi="仿宋" w:eastAsia="仿宋"/>
          <w:bCs/>
          <w:sz w:val="24"/>
        </w:rPr>
        <w:t>投标日期：</w:t>
      </w: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pStyle w:val="2"/>
        <w:spacing w:line="240" w:lineRule="atLeast"/>
        <w:jc w:val="center"/>
        <w:rPr>
          <w:rFonts w:ascii="仿宋" w:hAnsi="仿宋" w:eastAsia="仿宋"/>
          <w:bCs w:val="0"/>
          <w:sz w:val="36"/>
        </w:rPr>
      </w:pPr>
      <w:bookmarkStart w:id="164" w:name="_Toc375898986"/>
      <w:bookmarkStart w:id="165" w:name="_Toc217446092"/>
      <w:r>
        <w:rPr>
          <w:rFonts w:hint="eastAsia" w:ascii="仿宋" w:hAnsi="仿宋" w:eastAsia="仿宋"/>
          <w:bCs w:val="0"/>
          <w:sz w:val="36"/>
        </w:rPr>
        <w:t>第四章 资格证明文件</w:t>
      </w:r>
      <w:bookmarkEnd w:id="164"/>
      <w:bookmarkEnd w:id="165"/>
    </w:p>
    <w:p>
      <w:pPr>
        <w:spacing w:line="400" w:lineRule="exact"/>
        <w:jc w:val="center"/>
        <w:rPr>
          <w:rFonts w:ascii="仿宋" w:hAnsi="仿宋" w:eastAsia="仿宋"/>
        </w:rPr>
      </w:pPr>
    </w:p>
    <w:p>
      <w:pPr>
        <w:pStyle w:val="79"/>
        <w:spacing w:line="400" w:lineRule="exact"/>
        <w:rPr>
          <w:rFonts w:ascii="仿宋" w:hAnsi="仿宋" w:eastAsia="仿宋"/>
          <w:sz w:val="24"/>
          <w:szCs w:val="24"/>
        </w:rPr>
      </w:pPr>
      <w:r>
        <w:rPr>
          <w:rFonts w:hint="eastAsia" w:ascii="仿宋" w:hAnsi="仿宋" w:eastAsia="仿宋"/>
          <w:sz w:val="24"/>
          <w:szCs w:val="24"/>
        </w:rPr>
        <w:t xml:space="preserve">  投标人参加本次投标必须提供以下资格证明文件：</w:t>
      </w:r>
    </w:p>
    <w:p>
      <w:pPr>
        <w:spacing w:line="400" w:lineRule="exact"/>
        <w:rPr>
          <w:rFonts w:ascii="仿宋" w:hAnsi="仿宋" w:eastAsia="仿宋"/>
          <w:sz w:val="24"/>
        </w:rPr>
      </w:pPr>
    </w:p>
    <w:p>
      <w:pPr>
        <w:spacing w:line="400" w:lineRule="exact"/>
        <w:ind w:left="480"/>
        <w:rPr>
          <w:rFonts w:ascii="仿宋" w:hAnsi="仿宋" w:eastAsia="仿宋"/>
          <w:sz w:val="24"/>
        </w:rPr>
      </w:pPr>
      <w:r>
        <w:rPr>
          <w:rFonts w:hint="eastAsia" w:ascii="仿宋" w:hAnsi="仿宋" w:eastAsia="仿宋"/>
          <w:sz w:val="24"/>
        </w:rPr>
        <w:t>1.营业执照副本复印件（注：①在有效期内；②已实行三证合一的只需提供营业执照）；</w:t>
      </w:r>
    </w:p>
    <w:p>
      <w:pPr>
        <w:spacing w:line="400" w:lineRule="exact"/>
        <w:ind w:left="480"/>
        <w:rPr>
          <w:rFonts w:ascii="仿宋" w:hAnsi="仿宋" w:eastAsia="仿宋"/>
          <w:sz w:val="24"/>
        </w:rPr>
      </w:pPr>
      <w:r>
        <w:rPr>
          <w:rFonts w:hint="eastAsia" w:ascii="仿宋" w:hAnsi="仿宋" w:eastAsia="仿宋"/>
          <w:sz w:val="24"/>
        </w:rPr>
        <w:t>2.组织机构代码证副本复印件（注：①在有效期内；②已实行三证合一的只需提供营业执照）；</w:t>
      </w:r>
    </w:p>
    <w:p>
      <w:pPr>
        <w:spacing w:line="400" w:lineRule="exact"/>
        <w:ind w:left="480"/>
        <w:rPr>
          <w:rFonts w:ascii="仿宋" w:hAnsi="仿宋" w:eastAsia="仿宋"/>
          <w:sz w:val="24"/>
        </w:rPr>
      </w:pPr>
      <w:r>
        <w:rPr>
          <w:rFonts w:hint="eastAsia" w:ascii="仿宋" w:hAnsi="仿宋" w:eastAsia="仿宋"/>
          <w:sz w:val="24"/>
        </w:rPr>
        <w:t>3.税务登记证副本复印件（注：①已实行三证合一的只需提供营业执照）；</w:t>
      </w:r>
    </w:p>
    <w:p>
      <w:pPr>
        <w:spacing w:line="400" w:lineRule="exact"/>
        <w:ind w:left="480"/>
        <w:rPr>
          <w:rFonts w:ascii="仿宋" w:hAnsi="仿宋" w:eastAsia="仿宋"/>
          <w:sz w:val="24"/>
        </w:rPr>
      </w:pPr>
      <w:r>
        <w:rPr>
          <w:rFonts w:hint="eastAsia" w:ascii="仿宋" w:hAnsi="仿宋" w:eastAsia="仿宋"/>
          <w:sz w:val="24"/>
        </w:rPr>
        <w:t>4.法定代表人授权书原件（非法定代表人参与投标并签署投标文件时提供）；法定代表人证明书原件（法定代表人直接参与投标并签署投标文件时提供，格式自拟）；</w:t>
      </w:r>
    </w:p>
    <w:p>
      <w:pPr>
        <w:spacing w:line="400" w:lineRule="exact"/>
        <w:rPr>
          <w:rFonts w:ascii="仿宋" w:hAnsi="仿宋" w:eastAsia="仿宋"/>
          <w:sz w:val="24"/>
        </w:rPr>
      </w:pPr>
    </w:p>
    <w:p>
      <w:pPr>
        <w:spacing w:line="400" w:lineRule="exact"/>
        <w:ind w:left="480"/>
        <w:rPr>
          <w:rFonts w:ascii="仿宋" w:hAnsi="仿宋" w:eastAsia="仿宋"/>
          <w:b/>
          <w:sz w:val="24"/>
        </w:rPr>
      </w:pPr>
      <w:r>
        <w:rPr>
          <w:rFonts w:hint="eastAsia" w:ascii="仿宋" w:hAnsi="仿宋" w:eastAsia="仿宋"/>
          <w:b/>
          <w:sz w:val="24"/>
        </w:rPr>
        <w:t>以上要求投标人提供的资格证明文件复印件必须加盖投标人印章（鲜章）。</w:t>
      </w: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br w:type="page"/>
      </w:r>
    </w:p>
    <w:p>
      <w:pPr>
        <w:pStyle w:val="2"/>
        <w:spacing w:line="360" w:lineRule="auto"/>
        <w:jc w:val="center"/>
        <w:rPr>
          <w:rFonts w:ascii="仿宋" w:hAnsi="仿宋" w:eastAsia="仿宋"/>
          <w:bCs w:val="0"/>
          <w:sz w:val="36"/>
        </w:rPr>
      </w:pPr>
      <w:bookmarkStart w:id="166" w:name="_Toc217446093"/>
      <w:bookmarkStart w:id="167" w:name="_Toc375898987"/>
      <w:r>
        <w:rPr>
          <w:rFonts w:hint="eastAsia" w:ascii="仿宋" w:hAnsi="仿宋" w:eastAsia="仿宋"/>
          <w:bCs w:val="0"/>
          <w:sz w:val="36"/>
        </w:rPr>
        <w:t>第五章 招标项目及要求</w:t>
      </w:r>
      <w:bookmarkEnd w:id="166"/>
      <w:bookmarkEnd w:id="167"/>
    </w:p>
    <w:bookmarkEnd w:id="158"/>
    <w:p>
      <w:pPr>
        <w:pStyle w:val="3"/>
        <w:spacing w:line="400" w:lineRule="exact"/>
        <w:ind w:firstLine="236" w:firstLineChars="98"/>
      </w:pPr>
      <w:bookmarkStart w:id="168" w:name="_Toc217446096"/>
      <w:r>
        <w:rPr>
          <w:rFonts w:hint="eastAsia" w:ascii="宋体" w:hAnsi="宋体"/>
          <w:sz w:val="24"/>
          <w:szCs w:val="24"/>
        </w:rPr>
        <w:t>参照第一章第三条的招标内容。</w:t>
      </w:r>
    </w:p>
    <w:p>
      <w:pPr>
        <w:rPr>
          <w:rFonts w:ascii="仿宋" w:hAnsi="仿宋" w:eastAsia="仿宋" w:cs="仿宋"/>
          <w:sz w:val="24"/>
          <w:szCs w:val="24"/>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2"/>
        <w:spacing w:line="240" w:lineRule="atLeast"/>
        <w:jc w:val="center"/>
        <w:rPr>
          <w:rFonts w:ascii="仿宋" w:hAnsi="仿宋" w:eastAsia="仿宋"/>
          <w:bCs w:val="0"/>
          <w:sz w:val="36"/>
        </w:rPr>
      </w:pPr>
      <w:bookmarkStart w:id="169" w:name="_Toc375898988"/>
      <w:bookmarkStart w:id="170" w:name="PO_默认文件内容_12"/>
      <w:r>
        <w:rPr>
          <w:rFonts w:hint="eastAsia" w:ascii="仿宋" w:hAnsi="仿宋" w:eastAsia="仿宋"/>
          <w:bCs w:val="0"/>
          <w:sz w:val="36"/>
        </w:rPr>
        <w:t>第六章  评标办法</w:t>
      </w:r>
      <w:bookmarkEnd w:id="168"/>
      <w:bookmarkEnd w:id="169"/>
      <w:bookmarkStart w:id="171" w:name="_Hlt101846155"/>
      <w:bookmarkEnd w:id="171"/>
      <w:bookmarkStart w:id="172" w:name="_Toc217446097"/>
      <w:bookmarkStart w:id="173" w:name="_Toc208849007"/>
      <w:bookmarkStart w:id="174" w:name="_Toc183682415"/>
      <w:bookmarkStart w:id="175" w:name="_Toc183582280"/>
    </w:p>
    <w:p>
      <w:pPr>
        <w:rPr>
          <w:rFonts w:ascii="仿宋" w:hAnsi="仿宋" w:eastAsia="仿宋"/>
          <w:b/>
          <w:sz w:val="24"/>
        </w:rPr>
      </w:pPr>
      <w:r>
        <w:rPr>
          <w:rFonts w:hint="eastAsia" w:ascii="仿宋" w:hAnsi="仿宋" w:eastAsia="仿宋"/>
          <w:b/>
          <w:sz w:val="24"/>
        </w:rPr>
        <w:t>1. 总则</w:t>
      </w:r>
      <w:bookmarkEnd w:id="172"/>
      <w:bookmarkEnd w:id="173"/>
      <w:bookmarkEnd w:id="174"/>
      <w:bookmarkEnd w:id="175"/>
    </w:p>
    <w:p>
      <w:pPr>
        <w:spacing w:line="400" w:lineRule="exact"/>
        <w:ind w:firstLine="480" w:firstLineChars="200"/>
        <w:rPr>
          <w:rFonts w:ascii="仿宋" w:hAnsi="仿宋" w:eastAsia="仿宋"/>
          <w:sz w:val="24"/>
        </w:rPr>
      </w:pPr>
      <w:r>
        <w:rPr>
          <w:rFonts w:hint="eastAsia" w:ascii="仿宋" w:hAnsi="仿宋" w:eastAsia="仿宋"/>
          <w:sz w:val="24"/>
        </w:rPr>
        <w:t>1.1</w:t>
      </w:r>
      <w:r>
        <w:rPr>
          <w:rFonts w:ascii="仿宋" w:hAnsi="仿宋" w:eastAsia="仿宋"/>
          <w:sz w:val="24"/>
        </w:rPr>
        <w:t>招标方将根据招标货物特点组建评标委员会</w:t>
      </w:r>
      <w:r>
        <w:rPr>
          <w:rFonts w:hint="eastAsia" w:ascii="仿宋" w:hAnsi="仿宋" w:eastAsia="仿宋"/>
          <w:sz w:val="24"/>
        </w:rPr>
        <w:t>，采取综合评分法。</w:t>
      </w:r>
    </w:p>
    <w:p>
      <w:pPr>
        <w:spacing w:line="400" w:lineRule="exact"/>
        <w:ind w:firstLine="480" w:firstLineChars="200"/>
        <w:rPr>
          <w:rFonts w:ascii="仿宋" w:hAnsi="仿宋" w:eastAsia="仿宋"/>
          <w:sz w:val="24"/>
        </w:rPr>
      </w:pPr>
      <w:r>
        <w:rPr>
          <w:rFonts w:hint="eastAsia" w:ascii="仿宋" w:hAnsi="仿宋" w:eastAsia="仿宋"/>
          <w:sz w:val="24"/>
        </w:rPr>
        <w:t>1.2 评标工作应遵循公平、公正、科学及择优的原则，并以相同的评标程序和标准对待所有的投标人。</w:t>
      </w:r>
    </w:p>
    <w:p>
      <w:pPr>
        <w:spacing w:line="400" w:lineRule="exact"/>
        <w:ind w:firstLine="480" w:firstLineChars="200"/>
        <w:rPr>
          <w:rFonts w:ascii="仿宋" w:hAnsi="仿宋" w:eastAsia="仿宋"/>
          <w:sz w:val="24"/>
        </w:rPr>
      </w:pPr>
      <w:r>
        <w:rPr>
          <w:rFonts w:hint="eastAsia" w:ascii="仿宋" w:hAnsi="仿宋" w:eastAsia="仿宋"/>
          <w:sz w:val="24"/>
        </w:rPr>
        <w:t>1.3 评标委员会按照招标文件规定的评标方法和标准进行评标，并独立履行下列职责：</w:t>
      </w:r>
    </w:p>
    <w:p>
      <w:pPr>
        <w:spacing w:line="400" w:lineRule="exact"/>
        <w:ind w:firstLine="480"/>
        <w:rPr>
          <w:rFonts w:ascii="仿宋" w:hAnsi="仿宋" w:eastAsia="仿宋"/>
          <w:sz w:val="24"/>
        </w:rPr>
      </w:pPr>
      <w:r>
        <w:rPr>
          <w:rFonts w:hint="eastAsia" w:ascii="仿宋" w:hAnsi="仿宋" w:eastAsia="仿宋"/>
          <w:sz w:val="24"/>
        </w:rPr>
        <w:t>（1）审查投标文件是否符合招标文件要求，并作出评价；</w:t>
      </w:r>
    </w:p>
    <w:p>
      <w:pPr>
        <w:spacing w:line="400" w:lineRule="exact"/>
        <w:ind w:firstLine="480"/>
        <w:rPr>
          <w:rFonts w:ascii="仿宋" w:hAnsi="仿宋" w:eastAsia="仿宋"/>
          <w:sz w:val="24"/>
        </w:rPr>
      </w:pPr>
      <w:r>
        <w:rPr>
          <w:rFonts w:hint="eastAsia" w:ascii="仿宋" w:hAnsi="仿宋" w:eastAsia="仿宋"/>
          <w:sz w:val="24"/>
        </w:rPr>
        <w:t>（2）要求投标供应商对投标文件有关事项作出解释或者澄清；</w:t>
      </w:r>
    </w:p>
    <w:p>
      <w:pPr>
        <w:spacing w:line="400" w:lineRule="exact"/>
        <w:ind w:firstLine="480"/>
        <w:rPr>
          <w:rFonts w:ascii="仿宋" w:hAnsi="仿宋" w:eastAsia="仿宋"/>
          <w:sz w:val="24"/>
        </w:rPr>
      </w:pPr>
      <w:r>
        <w:rPr>
          <w:rFonts w:hint="eastAsia" w:ascii="仿宋" w:hAnsi="仿宋" w:eastAsia="仿宋"/>
          <w:sz w:val="24"/>
        </w:rPr>
        <w:t>（3）推荐中标候选供应商名单，或者受招标人委托按照事先确定的办法直接确定中标供应商；</w:t>
      </w:r>
    </w:p>
    <w:p>
      <w:pPr>
        <w:spacing w:line="400" w:lineRule="exact"/>
        <w:ind w:firstLine="480"/>
        <w:rPr>
          <w:rFonts w:ascii="仿宋" w:hAnsi="仿宋" w:eastAsia="仿宋"/>
          <w:sz w:val="24"/>
        </w:rPr>
      </w:pPr>
      <w:r>
        <w:rPr>
          <w:rFonts w:hint="eastAsia" w:ascii="仿宋" w:hAnsi="仿宋" w:eastAsia="仿宋"/>
          <w:sz w:val="24"/>
        </w:rPr>
        <w:t>（4）向招标采购单位或者有关部门报告非法干预评标工作的行为。</w:t>
      </w:r>
      <w:bookmarkStart w:id="176" w:name="_Toc217446098"/>
    </w:p>
    <w:p>
      <w:pPr>
        <w:spacing w:line="400" w:lineRule="exact"/>
        <w:ind w:firstLine="482" w:firstLineChars="200"/>
        <w:rPr>
          <w:rFonts w:ascii="仿宋" w:hAnsi="仿宋" w:eastAsia="仿宋"/>
          <w:b/>
          <w:sz w:val="24"/>
        </w:rPr>
      </w:pPr>
      <w:r>
        <w:rPr>
          <w:rFonts w:hint="eastAsia" w:ascii="仿宋" w:hAnsi="仿宋" w:eastAsia="仿宋"/>
          <w:b/>
          <w:sz w:val="24"/>
        </w:rPr>
        <w:t>2. 评标程序</w:t>
      </w:r>
      <w:bookmarkEnd w:id="176"/>
    </w:p>
    <w:p>
      <w:pPr>
        <w:spacing w:line="400" w:lineRule="exact"/>
        <w:ind w:firstLine="480"/>
        <w:rPr>
          <w:rFonts w:ascii="仿宋" w:hAnsi="仿宋" w:eastAsia="仿宋"/>
          <w:sz w:val="24"/>
        </w:rPr>
      </w:pPr>
      <w:bookmarkStart w:id="177" w:name="_Toc217446099"/>
      <w:r>
        <w:rPr>
          <w:rFonts w:hint="eastAsia" w:ascii="仿宋" w:hAnsi="仿宋" w:eastAsia="仿宋"/>
          <w:sz w:val="24"/>
        </w:rPr>
        <w:t>2.1投标文件初审。初审分为资格性检查和符合性检查。</w:t>
      </w:r>
    </w:p>
    <w:p>
      <w:pPr>
        <w:spacing w:line="400" w:lineRule="exact"/>
        <w:ind w:firstLine="480"/>
        <w:rPr>
          <w:rFonts w:ascii="仿宋" w:hAnsi="仿宋" w:eastAsia="仿宋"/>
          <w:sz w:val="24"/>
        </w:rPr>
      </w:pPr>
      <w:r>
        <w:rPr>
          <w:rFonts w:hint="eastAsia" w:ascii="仿宋" w:hAnsi="仿宋" w:eastAsia="仿宋"/>
          <w:sz w:val="24"/>
        </w:rPr>
        <w:t>2.1.1资格性检查。依据法律法规和招标文件的规定，对投标文件中的资格证明、投标保证金等进行审查，以确定投标供应商是否具备投标资格。</w:t>
      </w:r>
    </w:p>
    <w:p>
      <w:pPr>
        <w:spacing w:line="400" w:lineRule="exact"/>
        <w:ind w:firstLine="480"/>
        <w:rPr>
          <w:rFonts w:ascii="仿宋" w:hAnsi="仿宋" w:eastAsia="仿宋"/>
          <w:sz w:val="24"/>
        </w:rPr>
      </w:pPr>
      <w:r>
        <w:rPr>
          <w:rFonts w:hint="eastAsia" w:ascii="仿宋" w:hAnsi="仿宋" w:eastAsia="仿宋"/>
          <w:sz w:val="24"/>
        </w:rPr>
        <w:t>2.1.2符合性检查。依据招标文件的规定，从投标文件的有效性、完整性和对招标文件的响应程度进行审查，以确定是否对招标文件的实质性要求作出响应。</w:t>
      </w:r>
    </w:p>
    <w:p>
      <w:pPr>
        <w:spacing w:line="400" w:lineRule="exact"/>
        <w:ind w:firstLine="480"/>
        <w:rPr>
          <w:rFonts w:ascii="仿宋" w:hAnsi="仿宋" w:eastAsia="仿宋"/>
          <w:sz w:val="24"/>
        </w:rPr>
      </w:pPr>
      <w:r>
        <w:rPr>
          <w:rFonts w:hint="eastAsia" w:ascii="仿宋" w:hAnsi="仿宋" w:eastAsia="仿宋"/>
          <w:sz w:val="24"/>
        </w:rPr>
        <w:t>2.2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400" w:lineRule="exact"/>
        <w:ind w:firstLine="480"/>
        <w:rPr>
          <w:rFonts w:ascii="仿宋" w:hAnsi="仿宋" w:eastAsia="仿宋"/>
          <w:sz w:val="24"/>
        </w:rPr>
      </w:pPr>
      <w:r>
        <w:rPr>
          <w:rFonts w:hint="eastAsia" w:ascii="仿宋" w:hAnsi="仿宋" w:eastAsia="仿宋"/>
          <w:sz w:val="24"/>
        </w:rPr>
        <w:t>2.3比较与评价。按招标文件中规定的评标方法和标准，对资格性检查和符合性检查合格的投标文件进行商务和技术评估，综合比较与评价。</w:t>
      </w:r>
    </w:p>
    <w:p>
      <w:pPr>
        <w:spacing w:line="400" w:lineRule="exact"/>
        <w:ind w:firstLine="480"/>
        <w:rPr>
          <w:rFonts w:ascii="仿宋" w:hAnsi="仿宋" w:eastAsia="仿宋"/>
          <w:sz w:val="24"/>
        </w:rPr>
      </w:pPr>
      <w:r>
        <w:rPr>
          <w:rFonts w:hint="eastAsia" w:ascii="仿宋" w:hAnsi="仿宋" w:eastAsia="仿宋"/>
          <w:sz w:val="24"/>
        </w:rPr>
        <w:t>2.4推荐中标候选供应商名单。中标候选供应商数量应当根据采购需要确定，但必须按顺序排列中标候选供应商。</w:t>
      </w:r>
    </w:p>
    <w:p>
      <w:pPr>
        <w:spacing w:line="400" w:lineRule="exact"/>
        <w:ind w:firstLine="480"/>
        <w:rPr>
          <w:rFonts w:ascii="仿宋" w:hAnsi="仿宋" w:eastAsia="仿宋"/>
          <w:sz w:val="24"/>
        </w:rPr>
      </w:pPr>
      <w:r>
        <w:rPr>
          <w:rFonts w:hint="eastAsia" w:ascii="仿宋" w:hAnsi="仿宋" w:eastAsia="仿宋"/>
          <w:sz w:val="24"/>
        </w:rPr>
        <w:t>2.5编写评标报告。评标报告是评标委员会根据全体评标成员签字的原始评标记录和评标结果编写的报告。</w:t>
      </w:r>
    </w:p>
    <w:p>
      <w:pPr>
        <w:pStyle w:val="3"/>
        <w:spacing w:line="400" w:lineRule="exact"/>
        <w:ind w:firstLine="482" w:firstLineChars="200"/>
        <w:rPr>
          <w:rFonts w:ascii="仿宋" w:hAnsi="仿宋" w:eastAsia="仿宋"/>
          <w:sz w:val="24"/>
          <w:szCs w:val="24"/>
        </w:rPr>
      </w:pPr>
      <w:r>
        <w:rPr>
          <w:rFonts w:hint="eastAsia" w:ascii="仿宋" w:hAnsi="仿宋" w:eastAsia="仿宋"/>
          <w:sz w:val="24"/>
          <w:szCs w:val="24"/>
        </w:rPr>
        <w:t>3. 定标及定标程序</w:t>
      </w:r>
      <w:bookmarkEnd w:id="177"/>
    </w:p>
    <w:p>
      <w:pPr>
        <w:spacing w:line="400" w:lineRule="exact"/>
        <w:ind w:firstLine="480" w:firstLineChars="200"/>
        <w:rPr>
          <w:rFonts w:ascii="仿宋" w:hAnsi="仿宋" w:eastAsia="仿宋"/>
          <w:sz w:val="24"/>
        </w:rPr>
      </w:pPr>
      <w:r>
        <w:rPr>
          <w:rFonts w:hint="eastAsia" w:ascii="仿宋" w:hAnsi="仿宋" w:eastAsia="仿宋"/>
          <w:sz w:val="24"/>
        </w:rPr>
        <w:t xml:space="preserve"> 3.1 评委会将评标情况写出书面报告，推荐中标候选人，并按照综合得分高低标明排列顺序。综合得分相同的，按投标报价由低到高顺序排列。得分且投标报价相同的，按技术指标优劣顺序排列。</w:t>
      </w:r>
    </w:p>
    <w:p>
      <w:pPr>
        <w:spacing w:line="400" w:lineRule="exact"/>
        <w:ind w:firstLine="480" w:firstLineChars="200"/>
        <w:rPr>
          <w:rFonts w:ascii="仿宋" w:hAnsi="仿宋" w:eastAsia="仿宋"/>
          <w:sz w:val="24"/>
        </w:rPr>
      </w:pPr>
      <w:r>
        <w:rPr>
          <w:rFonts w:hint="eastAsia" w:ascii="仿宋" w:hAnsi="仿宋" w:eastAsia="仿宋"/>
          <w:sz w:val="24"/>
        </w:rPr>
        <w:t>3.2 招标人在完成评标报告后五个工作日内，按照评标报告中推荐的中标候选人顺序确定中标人。</w:t>
      </w:r>
    </w:p>
    <w:p>
      <w:pPr>
        <w:spacing w:line="400" w:lineRule="exact"/>
        <w:ind w:firstLine="480" w:firstLineChars="200"/>
        <w:rPr>
          <w:rFonts w:ascii="仿宋" w:hAnsi="仿宋" w:eastAsia="仿宋"/>
          <w:sz w:val="24"/>
        </w:rPr>
      </w:pPr>
      <w:r>
        <w:rPr>
          <w:rFonts w:hint="eastAsia" w:ascii="仿宋" w:hAnsi="仿宋" w:eastAsia="仿宋"/>
          <w:sz w:val="24"/>
        </w:rPr>
        <w:t>注意，招标人按照推荐的中标候选人顺序确定中标人，不能认为招标人只能确定第一中标候选人为中标人，招标人有正当理由的，可以确定后一顺序中标候选人为中标人，依次类推。</w:t>
      </w:r>
    </w:p>
    <w:p>
      <w:pPr>
        <w:spacing w:line="400" w:lineRule="exact"/>
        <w:ind w:firstLine="480" w:firstLineChars="200"/>
        <w:rPr>
          <w:rFonts w:ascii="仿宋" w:hAnsi="仿宋" w:eastAsia="仿宋"/>
          <w:sz w:val="24"/>
        </w:rPr>
      </w:pPr>
      <w:r>
        <w:rPr>
          <w:rFonts w:hint="eastAsia" w:ascii="仿宋" w:hAnsi="仿宋" w:eastAsia="仿宋"/>
          <w:sz w:val="24"/>
        </w:rPr>
        <w:t>3.3根据招标人确定的中标人，并在重庆交通职业学院官网上发布中标候选人公示，公示期结束后，向中标人发出中标通知书。</w:t>
      </w:r>
    </w:p>
    <w:p>
      <w:pPr>
        <w:spacing w:line="400" w:lineRule="exact"/>
        <w:rPr>
          <w:rFonts w:ascii="仿宋" w:hAnsi="仿宋" w:eastAsia="仿宋"/>
          <w:sz w:val="24"/>
        </w:rPr>
      </w:pPr>
      <w:bookmarkStart w:id="178" w:name="_Toc217446101"/>
      <w:r>
        <w:rPr>
          <w:rFonts w:hint="eastAsia" w:ascii="仿宋" w:hAnsi="仿宋" w:eastAsia="仿宋"/>
          <w:sz w:val="24"/>
        </w:rPr>
        <w:t xml:space="preserve">    3</w:t>
      </w:r>
      <w:r>
        <w:rPr>
          <w:rFonts w:ascii="仿宋" w:hAnsi="仿宋" w:eastAsia="仿宋"/>
          <w:sz w:val="24"/>
        </w:rPr>
        <w:t>.</w:t>
      </w:r>
      <w:r>
        <w:rPr>
          <w:rFonts w:hint="eastAsia" w:ascii="仿宋" w:hAnsi="仿宋" w:eastAsia="仿宋"/>
          <w:sz w:val="24"/>
        </w:rPr>
        <w:t>4 招标采购单位不解释中标或落标原因，不退回投标文件和其他投标资料。</w:t>
      </w:r>
    </w:p>
    <w:p>
      <w:pPr>
        <w:pStyle w:val="3"/>
        <w:spacing w:line="400" w:lineRule="exact"/>
        <w:ind w:firstLine="482" w:firstLineChars="200"/>
        <w:rPr>
          <w:rFonts w:ascii="仿宋" w:hAnsi="仿宋" w:eastAsia="仿宋"/>
          <w:sz w:val="24"/>
        </w:rPr>
      </w:pPr>
      <w:r>
        <w:rPr>
          <w:rFonts w:hint="eastAsia" w:ascii="仿宋" w:hAnsi="仿宋" w:eastAsia="仿宋"/>
          <w:sz w:val="24"/>
        </w:rPr>
        <w:t>4. 评标方法</w:t>
      </w:r>
      <w:bookmarkEnd w:id="178"/>
    </w:p>
    <w:p>
      <w:pPr>
        <w:pStyle w:val="7"/>
        <w:spacing w:line="400" w:lineRule="exact"/>
        <w:ind w:firstLine="120" w:firstLineChars="50"/>
        <w:rPr>
          <w:rFonts w:ascii="仿宋" w:hAnsi="仿宋" w:eastAsia="仿宋"/>
          <w:sz w:val="24"/>
        </w:rPr>
      </w:pPr>
      <w:r>
        <w:rPr>
          <w:rFonts w:hint="eastAsia" w:ascii="仿宋" w:hAnsi="仿宋" w:eastAsia="仿宋"/>
          <w:sz w:val="24"/>
        </w:rPr>
        <w:t>（见投标人须知前附表）</w:t>
      </w:r>
    </w:p>
    <w:p>
      <w:pPr>
        <w:pStyle w:val="3"/>
        <w:spacing w:line="400" w:lineRule="exact"/>
        <w:ind w:firstLine="482" w:firstLineChars="200"/>
        <w:rPr>
          <w:rFonts w:ascii="仿宋" w:hAnsi="仿宋" w:eastAsia="仿宋"/>
          <w:sz w:val="24"/>
        </w:rPr>
      </w:pPr>
      <w:bookmarkStart w:id="179" w:name="_Toc217446103"/>
      <w:r>
        <w:rPr>
          <w:rFonts w:hint="eastAsia" w:ascii="仿宋" w:hAnsi="仿宋" w:eastAsia="仿宋"/>
          <w:sz w:val="24"/>
        </w:rPr>
        <w:t>5. 评标细则及标准（综合评分法）</w:t>
      </w:r>
      <w:bookmarkEnd w:id="179"/>
    </w:p>
    <w:p>
      <w:pPr>
        <w:spacing w:line="400" w:lineRule="exact"/>
        <w:ind w:firstLine="480" w:firstLineChars="200"/>
        <w:rPr>
          <w:rFonts w:ascii="仿宋" w:hAnsi="仿宋" w:eastAsia="仿宋"/>
          <w:sz w:val="24"/>
        </w:rPr>
      </w:pPr>
      <w:r>
        <w:rPr>
          <w:rFonts w:hint="eastAsia" w:ascii="仿宋" w:hAnsi="仿宋" w:eastAsia="仿宋"/>
          <w:sz w:val="24"/>
        </w:rPr>
        <w:t>5.1 本次综合评分的主要因素是：详见综合评分表。</w:t>
      </w:r>
    </w:p>
    <w:p>
      <w:pPr>
        <w:spacing w:line="400" w:lineRule="exact"/>
        <w:ind w:firstLine="480" w:firstLineChars="200"/>
        <w:rPr>
          <w:rFonts w:ascii="仿宋" w:hAnsi="仿宋" w:eastAsia="仿宋"/>
          <w:sz w:val="24"/>
        </w:rPr>
      </w:pPr>
      <w:r>
        <w:rPr>
          <w:rFonts w:hint="eastAsia" w:ascii="仿宋" w:hAnsi="仿宋" w:eastAsia="仿宋"/>
          <w:sz w:val="24"/>
        </w:rPr>
        <w:t>5.2 除价格因素外，评委会成员应依据投标文件规定的评分标准和方法独立对其他因素进行比较打分。</w:t>
      </w:r>
    </w:p>
    <w:p>
      <w:pPr>
        <w:pStyle w:val="16"/>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5.3 在评标过程中，投标文件响应招标文件出现的偏离，分为实质性偏离和非实质性偏离。</w:t>
      </w:r>
    </w:p>
    <w:p>
      <w:pPr>
        <w:pStyle w:val="16"/>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5.3.1实质性偏离是指投标文件未能实质响应招标文件的要求。以下情况属于重大偏离：</w:t>
      </w:r>
    </w:p>
    <w:p>
      <w:pPr>
        <w:spacing w:line="400" w:lineRule="exact"/>
        <w:ind w:firstLine="480" w:firstLineChars="200"/>
        <w:rPr>
          <w:rFonts w:ascii="仿宋" w:hAnsi="仿宋" w:eastAsia="仿宋"/>
          <w:sz w:val="24"/>
        </w:rPr>
      </w:pPr>
      <w:r>
        <w:rPr>
          <w:rFonts w:hint="eastAsia" w:ascii="仿宋" w:hAnsi="仿宋" w:eastAsia="仿宋"/>
          <w:sz w:val="24"/>
        </w:rPr>
        <w:t>（1）未按招标文件要求提交投标保证金；</w:t>
      </w:r>
    </w:p>
    <w:p>
      <w:pPr>
        <w:spacing w:line="400" w:lineRule="exact"/>
        <w:ind w:firstLine="480" w:firstLineChars="200"/>
        <w:rPr>
          <w:rFonts w:ascii="仿宋" w:hAnsi="仿宋" w:eastAsia="仿宋"/>
          <w:sz w:val="24"/>
        </w:rPr>
      </w:pPr>
      <w:r>
        <w:rPr>
          <w:rFonts w:hint="eastAsia" w:ascii="仿宋" w:hAnsi="仿宋" w:eastAsia="仿宋"/>
          <w:sz w:val="24"/>
        </w:rPr>
        <w:t>（2）投标函、法定代表人授权委托书、开标一览表没有按招标文件的规定和要求签字或盖章；</w:t>
      </w:r>
    </w:p>
    <w:p>
      <w:pPr>
        <w:spacing w:line="400" w:lineRule="exact"/>
        <w:ind w:firstLine="480" w:firstLineChars="200"/>
        <w:rPr>
          <w:rFonts w:ascii="仿宋" w:hAnsi="仿宋" w:eastAsia="仿宋"/>
          <w:sz w:val="24"/>
        </w:rPr>
      </w:pPr>
      <w:r>
        <w:rPr>
          <w:rFonts w:hint="eastAsia" w:ascii="仿宋" w:hAnsi="仿宋" w:eastAsia="仿宋"/>
          <w:sz w:val="24"/>
        </w:rPr>
        <w:t>（3）投标文件中附有招标人不能接受的条件；</w:t>
      </w:r>
    </w:p>
    <w:p>
      <w:pPr>
        <w:pStyle w:val="16"/>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（4）投标产品的技术规格、技术标准明显不符合招标项目的要求；</w:t>
      </w:r>
    </w:p>
    <w:p>
      <w:pPr>
        <w:pStyle w:val="16"/>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rPr>
        <w:t>不符合招标文件规定的其他实质性要求。</w:t>
      </w:r>
    </w:p>
    <w:p>
      <w:pPr>
        <w:pStyle w:val="16"/>
        <w:tabs>
          <w:tab w:val="left" w:pos="0"/>
        </w:tabs>
        <w:spacing w:line="400" w:lineRule="exact"/>
        <w:ind w:firstLine="480" w:firstLineChars="200"/>
        <w:rPr>
          <w:rFonts w:ascii="仿宋" w:hAnsi="仿宋" w:eastAsia="仿宋"/>
          <w:sz w:val="24"/>
          <w:szCs w:val="24"/>
        </w:rPr>
      </w:pPr>
      <w:r>
        <w:rPr>
          <w:rFonts w:hint="eastAsia" w:ascii="仿宋" w:hAnsi="仿宋" w:eastAsia="仿宋"/>
          <w:sz w:val="24"/>
          <w:szCs w:val="24"/>
        </w:rPr>
        <w:t>投标文件有上述情形之一的，作无效投标处理。</w:t>
      </w:r>
    </w:p>
    <w:p>
      <w:pPr>
        <w:spacing w:line="400" w:lineRule="exact"/>
        <w:ind w:firstLine="480" w:firstLineChars="200"/>
        <w:rPr>
          <w:rFonts w:ascii="仿宋" w:hAnsi="仿宋" w:eastAsia="仿宋"/>
          <w:sz w:val="24"/>
        </w:rPr>
      </w:pPr>
      <w:r>
        <w:rPr>
          <w:rFonts w:hint="eastAsia" w:ascii="仿宋" w:hAnsi="仿宋" w:eastAsia="仿宋"/>
          <w:sz w:val="24"/>
        </w:rPr>
        <w:t>5.3.2非实质性偏离是指投标文件在实质上响应招标文件的要求，但在个别地方存在一些不规则、不一致、不完整的内容，并且澄清、说明或者补正这些内容不会改变投标文件的实质性内容。以下情况属于非实质性偏离：</w:t>
      </w:r>
    </w:p>
    <w:p>
      <w:pPr>
        <w:spacing w:line="400" w:lineRule="exact"/>
        <w:ind w:firstLine="480" w:firstLineChars="200"/>
        <w:rPr>
          <w:rFonts w:ascii="仿宋" w:hAnsi="仿宋" w:eastAsia="仿宋"/>
          <w:sz w:val="24"/>
        </w:rPr>
      </w:pPr>
      <w:r>
        <w:rPr>
          <w:rFonts w:hint="eastAsia" w:ascii="仿宋" w:hAnsi="仿宋" w:eastAsia="仿宋"/>
          <w:sz w:val="24"/>
        </w:rPr>
        <w:t>（1） 文字表述的内容含义不明确；</w:t>
      </w:r>
    </w:p>
    <w:p>
      <w:pPr>
        <w:spacing w:line="400" w:lineRule="exact"/>
        <w:ind w:firstLine="480" w:firstLineChars="200"/>
        <w:rPr>
          <w:rFonts w:ascii="仿宋" w:hAnsi="仿宋" w:eastAsia="仿宋"/>
          <w:sz w:val="24"/>
        </w:rPr>
      </w:pPr>
      <w:r>
        <w:rPr>
          <w:rFonts w:hint="eastAsia" w:ascii="仿宋" w:hAnsi="仿宋" w:eastAsia="仿宋"/>
          <w:sz w:val="24"/>
        </w:rPr>
        <w:t>（2） 同类问题表述不一致；</w:t>
      </w:r>
    </w:p>
    <w:p>
      <w:pPr>
        <w:spacing w:line="400" w:lineRule="exact"/>
        <w:ind w:firstLine="480" w:firstLineChars="200"/>
        <w:rPr>
          <w:rFonts w:ascii="仿宋" w:hAnsi="仿宋" w:eastAsia="仿宋"/>
          <w:sz w:val="24"/>
        </w:rPr>
      </w:pPr>
      <w:r>
        <w:rPr>
          <w:rFonts w:hint="eastAsia" w:ascii="仿宋" w:hAnsi="仿宋" w:eastAsia="仿宋"/>
          <w:sz w:val="24"/>
        </w:rPr>
        <w:t>（3） 有明显文字和计算错误；</w:t>
      </w:r>
    </w:p>
    <w:p>
      <w:pPr>
        <w:spacing w:line="400" w:lineRule="exact"/>
        <w:ind w:firstLine="480" w:firstLineChars="200"/>
        <w:rPr>
          <w:rFonts w:ascii="仿宋" w:hAnsi="仿宋" w:eastAsia="仿宋"/>
          <w:sz w:val="24"/>
        </w:rPr>
      </w:pPr>
      <w:r>
        <w:rPr>
          <w:rFonts w:hint="eastAsia" w:ascii="仿宋" w:hAnsi="仿宋" w:eastAsia="仿宋"/>
          <w:sz w:val="24"/>
        </w:rPr>
        <w:t>（4） 提供的技术信息和数据资料不完整；</w:t>
      </w:r>
    </w:p>
    <w:p>
      <w:pPr>
        <w:spacing w:line="400" w:lineRule="exact"/>
        <w:ind w:firstLine="480" w:firstLineChars="200"/>
        <w:rPr>
          <w:rFonts w:ascii="仿宋" w:hAnsi="仿宋" w:eastAsia="仿宋"/>
          <w:sz w:val="24"/>
        </w:rPr>
      </w:pPr>
      <w:r>
        <w:rPr>
          <w:rFonts w:hint="eastAsia" w:ascii="仿宋" w:hAnsi="仿宋" w:eastAsia="仿宋"/>
          <w:sz w:val="24"/>
        </w:rPr>
        <w:t>（5） 评标委员会认定的其他非实质性偏离。</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投标文件有上述（1）--（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w:t>
      </w:r>
      <w:r>
        <w:rPr>
          <w:rFonts w:ascii="仿宋" w:hAnsi="仿宋" w:eastAsia="仿宋"/>
          <w:sz w:val="24"/>
        </w:rPr>
        <w:t>评标委员会不接受投标人主动提出的澄清</w:t>
      </w:r>
      <w:r>
        <w:rPr>
          <w:rFonts w:hint="eastAsia" w:ascii="仿宋" w:hAnsi="仿宋" w:eastAsia="仿宋"/>
          <w:sz w:val="24"/>
        </w:rPr>
        <w:t>、</w:t>
      </w:r>
      <w:r>
        <w:rPr>
          <w:rFonts w:ascii="仿宋" w:hAnsi="仿宋" w:eastAsia="仿宋"/>
          <w:sz w:val="24"/>
        </w:rPr>
        <w:t>说明</w:t>
      </w:r>
      <w:r>
        <w:rPr>
          <w:rFonts w:hint="eastAsia" w:ascii="仿宋" w:hAnsi="仿宋" w:eastAsia="仿宋"/>
          <w:sz w:val="24"/>
        </w:rPr>
        <w:t>或补正</w:t>
      </w:r>
      <w:r>
        <w:rPr>
          <w:rFonts w:ascii="仿宋" w:hAnsi="仿宋" w:eastAsia="仿宋"/>
          <w:sz w:val="24"/>
        </w:rPr>
        <w:t>。</w:t>
      </w:r>
    </w:p>
    <w:p>
      <w:pPr>
        <w:pStyle w:val="16"/>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5.4 在投标文件初审过程中，如果出现评标委员会成员意见不一致的情况，按照少数服从多数的原则确定。</w:t>
      </w:r>
    </w:p>
    <w:p>
      <w:pPr>
        <w:pStyle w:val="16"/>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5.5综合评分明细表</w:t>
      </w:r>
    </w:p>
    <w:p>
      <w:pPr>
        <w:pStyle w:val="16"/>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5.5.1综合评分明细表的制定以科学合理、降低评标委员会自由裁量权为原则。</w:t>
      </w:r>
    </w:p>
    <w:p>
      <w:pPr>
        <w:pStyle w:val="16"/>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5.5.2综合评分明细表</w:t>
      </w: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352"/>
        <w:gridCol w:w="578"/>
        <w:gridCol w:w="514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vAlign w:val="center"/>
          </w:tcPr>
          <w:p>
            <w:pPr>
              <w:spacing w:line="400" w:lineRule="exact"/>
              <w:ind w:firstLine="28"/>
              <w:jc w:val="center"/>
              <w:rPr>
                <w:rFonts w:ascii="仿宋" w:hAnsi="仿宋" w:eastAsia="仿宋"/>
                <w:sz w:val="24"/>
              </w:rPr>
            </w:pPr>
            <w:r>
              <w:rPr>
                <w:rFonts w:hint="eastAsia" w:ascii="仿宋" w:hAnsi="仿宋" w:eastAsia="仿宋"/>
                <w:sz w:val="24"/>
              </w:rPr>
              <w:t>序号</w:t>
            </w:r>
          </w:p>
        </w:tc>
        <w:tc>
          <w:tcPr>
            <w:tcW w:w="1352" w:type="dxa"/>
            <w:vAlign w:val="center"/>
          </w:tcPr>
          <w:p>
            <w:pPr>
              <w:spacing w:line="400" w:lineRule="exact"/>
              <w:ind w:firstLine="28"/>
              <w:jc w:val="center"/>
              <w:rPr>
                <w:rFonts w:ascii="仿宋" w:hAnsi="仿宋" w:eastAsia="仿宋"/>
                <w:sz w:val="24"/>
              </w:rPr>
            </w:pPr>
            <w:r>
              <w:rPr>
                <w:rFonts w:hint="eastAsia" w:ascii="仿宋" w:hAnsi="仿宋" w:eastAsia="仿宋"/>
                <w:sz w:val="24"/>
              </w:rPr>
              <w:t>评分因素</w:t>
            </w:r>
          </w:p>
          <w:p>
            <w:pPr>
              <w:spacing w:line="400" w:lineRule="exact"/>
              <w:ind w:firstLine="28"/>
              <w:jc w:val="center"/>
              <w:rPr>
                <w:rFonts w:ascii="仿宋" w:hAnsi="仿宋" w:eastAsia="仿宋"/>
                <w:sz w:val="24"/>
              </w:rPr>
            </w:pPr>
            <w:r>
              <w:rPr>
                <w:rFonts w:hint="eastAsia" w:ascii="仿宋" w:hAnsi="仿宋" w:eastAsia="仿宋"/>
                <w:sz w:val="24"/>
              </w:rPr>
              <w:t>及权重</w:t>
            </w:r>
          </w:p>
        </w:tc>
        <w:tc>
          <w:tcPr>
            <w:tcW w:w="578" w:type="dxa"/>
            <w:vAlign w:val="center"/>
          </w:tcPr>
          <w:p>
            <w:pPr>
              <w:spacing w:line="400" w:lineRule="exact"/>
              <w:ind w:firstLine="28"/>
              <w:jc w:val="center"/>
              <w:rPr>
                <w:rFonts w:ascii="仿宋" w:hAnsi="仿宋" w:eastAsia="仿宋"/>
                <w:sz w:val="24"/>
              </w:rPr>
            </w:pPr>
            <w:r>
              <w:rPr>
                <w:rFonts w:hint="eastAsia" w:ascii="仿宋" w:hAnsi="仿宋" w:eastAsia="仿宋"/>
                <w:sz w:val="24"/>
              </w:rPr>
              <w:t>分　值</w:t>
            </w:r>
          </w:p>
        </w:tc>
        <w:tc>
          <w:tcPr>
            <w:tcW w:w="5140" w:type="dxa"/>
            <w:vAlign w:val="center"/>
          </w:tcPr>
          <w:p>
            <w:pPr>
              <w:spacing w:line="400" w:lineRule="exact"/>
              <w:ind w:firstLine="28"/>
              <w:jc w:val="center"/>
              <w:rPr>
                <w:rFonts w:ascii="仿宋" w:hAnsi="仿宋" w:eastAsia="仿宋"/>
                <w:sz w:val="24"/>
              </w:rPr>
            </w:pPr>
            <w:r>
              <w:rPr>
                <w:rFonts w:hint="eastAsia" w:ascii="仿宋" w:hAnsi="仿宋" w:eastAsia="仿宋"/>
                <w:sz w:val="24"/>
              </w:rPr>
              <w:t>评分标准</w:t>
            </w:r>
          </w:p>
        </w:tc>
        <w:tc>
          <w:tcPr>
            <w:tcW w:w="920" w:type="dxa"/>
            <w:vAlign w:val="center"/>
          </w:tcPr>
          <w:p>
            <w:pPr>
              <w:spacing w:line="400" w:lineRule="exact"/>
              <w:jc w:val="center"/>
              <w:rPr>
                <w:rFonts w:ascii="仿宋" w:hAnsi="仿宋" w:eastAsia="仿宋"/>
                <w:sz w:val="24"/>
              </w:rPr>
            </w:pPr>
            <w:r>
              <w:rPr>
                <w:rFonts w:hint="eastAsia" w:ascii="仿宋" w:hAnsi="仿宋" w:eastAsia="仿宋"/>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vAlign w:val="center"/>
          </w:tcPr>
          <w:p>
            <w:pPr>
              <w:spacing w:line="400" w:lineRule="exact"/>
              <w:ind w:firstLine="28"/>
              <w:jc w:val="center"/>
              <w:rPr>
                <w:rFonts w:ascii="仿宋" w:hAnsi="仿宋" w:eastAsia="仿宋"/>
                <w:sz w:val="24"/>
              </w:rPr>
            </w:pPr>
            <w:r>
              <w:rPr>
                <w:rFonts w:hint="eastAsia" w:ascii="仿宋" w:hAnsi="仿宋" w:eastAsia="仿宋"/>
                <w:sz w:val="24"/>
              </w:rPr>
              <w:t>1</w:t>
            </w:r>
          </w:p>
        </w:tc>
        <w:tc>
          <w:tcPr>
            <w:tcW w:w="1352" w:type="dxa"/>
            <w:vAlign w:val="center"/>
          </w:tcPr>
          <w:p>
            <w:pPr>
              <w:spacing w:line="400" w:lineRule="exact"/>
              <w:rPr>
                <w:rFonts w:ascii="仿宋" w:hAnsi="仿宋" w:eastAsia="仿宋"/>
                <w:sz w:val="24"/>
              </w:rPr>
            </w:pPr>
            <w:r>
              <w:rPr>
                <w:rFonts w:hint="eastAsia" w:ascii="仿宋" w:hAnsi="仿宋" w:eastAsia="仿宋"/>
                <w:sz w:val="24"/>
              </w:rPr>
              <w:t>报价60%</w:t>
            </w:r>
          </w:p>
        </w:tc>
        <w:tc>
          <w:tcPr>
            <w:tcW w:w="578" w:type="dxa"/>
            <w:vAlign w:val="center"/>
          </w:tcPr>
          <w:p>
            <w:pPr>
              <w:spacing w:line="400" w:lineRule="exact"/>
              <w:jc w:val="center"/>
              <w:rPr>
                <w:rFonts w:ascii="仿宋" w:hAnsi="仿宋" w:eastAsia="仿宋"/>
                <w:sz w:val="24"/>
              </w:rPr>
            </w:pPr>
            <w:r>
              <w:rPr>
                <w:rFonts w:hint="eastAsia" w:ascii="仿宋" w:hAnsi="仿宋" w:eastAsia="仿宋"/>
                <w:sz w:val="24"/>
              </w:rPr>
              <w:t>60</w:t>
            </w:r>
          </w:p>
        </w:tc>
        <w:tc>
          <w:tcPr>
            <w:tcW w:w="5140" w:type="dxa"/>
            <w:vAlign w:val="center"/>
          </w:tcPr>
          <w:p>
            <w:pPr>
              <w:spacing w:line="400" w:lineRule="exact"/>
              <w:rPr>
                <w:rFonts w:ascii="仿宋" w:hAnsi="仿宋" w:eastAsia="仿宋"/>
                <w:sz w:val="24"/>
              </w:rPr>
            </w:pPr>
            <w:r>
              <w:rPr>
                <w:rFonts w:hint="eastAsia" w:ascii="楷体_GB2312" w:hAnsi="Arial"/>
                <w:sz w:val="24"/>
              </w:rPr>
              <w:t>以</w:t>
            </w:r>
            <w:r>
              <w:rPr>
                <w:rFonts w:hint="eastAsia" w:ascii="楷体_GB2312" w:hAnsi="Arial" w:eastAsia="楷体_GB2312" w:cs="Arial"/>
                <w:snapToGrid w:val="0"/>
                <w:sz w:val="24"/>
              </w:rPr>
              <w:t>进入评分</w:t>
            </w:r>
            <w:r>
              <w:rPr>
                <w:rFonts w:hint="eastAsia" w:ascii="楷体_GB2312" w:hAnsi="Arial"/>
                <w:sz w:val="24"/>
              </w:rPr>
              <w:t>的</w:t>
            </w:r>
            <w:r>
              <w:rPr>
                <w:rFonts w:hint="eastAsia" w:ascii="楷体_GB2312" w:hAnsi="Arial" w:eastAsia="楷体_GB2312" w:cs="Arial"/>
                <w:snapToGrid w:val="0"/>
                <w:sz w:val="24"/>
              </w:rPr>
              <w:t>有效投标人评标价的平均值</w:t>
            </w:r>
            <w:r>
              <w:rPr>
                <w:rFonts w:hint="eastAsia" w:ascii="楷体_GB2312" w:hAnsi="Arial"/>
                <w:sz w:val="24"/>
              </w:rPr>
              <w:t>为基准价，</w:t>
            </w:r>
            <w:r>
              <w:rPr>
                <w:rFonts w:hint="eastAsia" w:ascii="楷体_GB2312" w:hAnsi="Arial" w:eastAsia="楷体_GB2312" w:cs="Arial"/>
                <w:snapToGrid w:val="0"/>
                <w:sz w:val="24"/>
              </w:rPr>
              <w:t>得50分，</w:t>
            </w:r>
            <w:r>
              <w:rPr>
                <w:rFonts w:ascii="楷体_GB2312" w:hAnsi="Arial" w:eastAsia="楷体_GB2312" w:cs="Arial"/>
                <w:snapToGrid w:val="0"/>
                <w:sz w:val="24"/>
              </w:rPr>
              <w:t>其它投标人的</w:t>
            </w:r>
            <w:r>
              <w:rPr>
                <w:rFonts w:hint="eastAsia" w:ascii="楷体_GB2312" w:hAnsi="Arial"/>
                <w:sz w:val="24"/>
              </w:rPr>
              <w:t>投标报价得分</w:t>
            </w:r>
            <w:r>
              <w:rPr>
                <w:rFonts w:ascii="楷体_GB2312" w:hAnsi="Arial" w:eastAsia="楷体_GB2312" w:cs="Arial"/>
                <w:snapToGrid w:val="0"/>
                <w:sz w:val="24"/>
              </w:rPr>
              <w:t>＝（</w:t>
            </w:r>
            <w:r>
              <w:rPr>
                <w:rFonts w:ascii="楷体_GB2312" w:hAnsi="Arial"/>
                <w:sz w:val="24"/>
              </w:rPr>
              <w:t>基准价</w:t>
            </w:r>
            <w:r>
              <w:rPr>
                <w:rFonts w:ascii="楷体_GB2312" w:hAnsi="Arial" w:eastAsia="楷体_GB2312" w:cs="Arial"/>
                <w:snapToGrid w:val="0"/>
                <w:sz w:val="24"/>
              </w:rPr>
              <w:t>/该投标人的评标价格）×</w:t>
            </w:r>
            <w:r>
              <w:rPr>
                <w:rFonts w:hint="eastAsia" w:ascii="楷体_GB2312" w:hAnsi="Arial" w:eastAsia="楷体_GB2312" w:cs="Arial"/>
                <w:snapToGrid w:val="0"/>
                <w:sz w:val="24"/>
              </w:rPr>
              <w:t>5</w:t>
            </w:r>
            <w:r>
              <w:rPr>
                <w:rFonts w:ascii="楷体_GB2312" w:hAnsi="Arial" w:eastAsia="楷体_GB2312" w:cs="Arial"/>
                <w:snapToGrid w:val="0"/>
                <w:sz w:val="24"/>
              </w:rPr>
              <w:t>0</w:t>
            </w:r>
            <w:r>
              <w:rPr>
                <w:rFonts w:hint="eastAsia" w:ascii="楷体_GB2312" w:hAnsi="Arial" w:eastAsia="楷体_GB2312" w:cs="Arial"/>
                <w:snapToGrid w:val="0"/>
                <w:sz w:val="24"/>
              </w:rPr>
              <w:t>，上限最高不超过</w:t>
            </w:r>
            <w:r>
              <w:rPr>
                <w:rFonts w:hint="eastAsia" w:ascii="楷体_GB2312" w:hAnsi="Arial"/>
                <w:sz w:val="24"/>
              </w:rPr>
              <w:t>6</w:t>
            </w:r>
            <w:r>
              <w:rPr>
                <w:rFonts w:ascii="楷体_GB2312" w:hAnsi="Arial"/>
                <w:sz w:val="24"/>
              </w:rPr>
              <w:t>0</w:t>
            </w:r>
            <w:r>
              <w:rPr>
                <w:rFonts w:hint="eastAsia" w:ascii="楷体_GB2312" w:hAnsi="Arial" w:eastAsia="楷体_GB2312" w:cs="Arial"/>
                <w:snapToGrid w:val="0"/>
                <w:sz w:val="24"/>
              </w:rPr>
              <w:t>，下限无限制；（计算保留小数点后2位）</w:t>
            </w:r>
          </w:p>
        </w:tc>
        <w:tc>
          <w:tcPr>
            <w:tcW w:w="920" w:type="dxa"/>
            <w:vAlign w:val="center"/>
          </w:tcPr>
          <w:p>
            <w:pPr>
              <w:spacing w:line="400" w:lineRule="exact"/>
              <w:ind w:left="-38"/>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vAlign w:val="center"/>
          </w:tcPr>
          <w:p>
            <w:pPr>
              <w:spacing w:line="400" w:lineRule="exact"/>
              <w:ind w:firstLine="28"/>
              <w:jc w:val="center"/>
              <w:rPr>
                <w:rFonts w:ascii="仿宋" w:hAnsi="仿宋" w:eastAsia="仿宋"/>
                <w:sz w:val="24"/>
              </w:rPr>
            </w:pPr>
            <w:r>
              <w:rPr>
                <w:rFonts w:hint="eastAsia" w:ascii="仿宋" w:hAnsi="仿宋" w:eastAsia="仿宋"/>
                <w:sz w:val="24"/>
              </w:rPr>
              <w:t>2</w:t>
            </w:r>
          </w:p>
        </w:tc>
        <w:tc>
          <w:tcPr>
            <w:tcW w:w="1352" w:type="dxa"/>
            <w:vAlign w:val="center"/>
          </w:tcPr>
          <w:p>
            <w:pPr>
              <w:spacing w:line="400" w:lineRule="exact"/>
              <w:rPr>
                <w:rFonts w:ascii="仿宋" w:hAnsi="仿宋" w:eastAsia="仿宋"/>
                <w:sz w:val="24"/>
              </w:rPr>
            </w:pPr>
            <w:r>
              <w:rPr>
                <w:rFonts w:hint="eastAsia" w:ascii="仿宋" w:hAnsi="仿宋" w:eastAsia="仿宋"/>
                <w:sz w:val="24"/>
              </w:rPr>
              <w:t>技术指标和配置22%</w:t>
            </w:r>
          </w:p>
        </w:tc>
        <w:tc>
          <w:tcPr>
            <w:tcW w:w="578" w:type="dxa"/>
            <w:vAlign w:val="center"/>
          </w:tcPr>
          <w:p>
            <w:pPr>
              <w:spacing w:line="400" w:lineRule="exact"/>
              <w:ind w:firstLine="28"/>
              <w:jc w:val="center"/>
              <w:rPr>
                <w:rFonts w:ascii="仿宋" w:hAnsi="仿宋" w:eastAsia="仿宋"/>
                <w:sz w:val="24"/>
              </w:rPr>
            </w:pPr>
            <w:r>
              <w:rPr>
                <w:rFonts w:hint="eastAsia" w:ascii="仿宋" w:hAnsi="仿宋" w:eastAsia="仿宋"/>
                <w:sz w:val="24"/>
              </w:rPr>
              <w:t>20</w:t>
            </w:r>
          </w:p>
        </w:tc>
        <w:tc>
          <w:tcPr>
            <w:tcW w:w="5140" w:type="dxa"/>
            <w:vAlign w:val="center"/>
          </w:tcPr>
          <w:p>
            <w:pPr>
              <w:spacing w:line="400" w:lineRule="exact"/>
              <w:rPr>
                <w:rFonts w:ascii="仿宋" w:hAnsi="仿宋" w:eastAsia="仿宋"/>
                <w:sz w:val="24"/>
              </w:rPr>
            </w:pPr>
            <w:r>
              <w:rPr>
                <w:rFonts w:hint="eastAsia" w:ascii="仿宋" w:hAnsi="仿宋" w:eastAsia="仿宋"/>
                <w:sz w:val="24"/>
              </w:rPr>
              <w:t>完全符合招标文件</w:t>
            </w:r>
            <w:r>
              <w:rPr>
                <w:rFonts w:hint="eastAsia" w:ascii="Arial" w:hAnsi="Arial" w:eastAsia="楷体_GB2312" w:cs="Arial"/>
                <w:iCs/>
                <w:sz w:val="24"/>
                <w:szCs w:val="24"/>
              </w:rPr>
              <w:t>要求</w:t>
            </w:r>
            <w:r>
              <w:rPr>
                <w:rFonts w:hint="eastAsia" w:ascii="仿宋" w:hAnsi="仿宋" w:eastAsia="仿宋"/>
                <w:sz w:val="24"/>
              </w:rPr>
              <w:t>(招标文件第五章三至十项)</w:t>
            </w:r>
            <w:r>
              <w:rPr>
                <w:rFonts w:hint="eastAsia" w:ascii="Arial" w:hAnsi="Arial" w:eastAsia="楷体_GB2312" w:cs="Arial"/>
                <w:iCs/>
                <w:sz w:val="24"/>
                <w:szCs w:val="24"/>
              </w:rPr>
              <w:t>得18分，每偏离一项扣1分，</w:t>
            </w:r>
            <w:r>
              <w:rPr>
                <w:rFonts w:hint="eastAsia" w:ascii="仿宋" w:hAnsi="仿宋" w:eastAsia="仿宋"/>
                <w:sz w:val="24"/>
              </w:rPr>
              <w:t>扣完为止。</w:t>
            </w:r>
            <w:r>
              <w:rPr>
                <w:rFonts w:hint="eastAsia" w:ascii="Arial" w:hAnsi="Arial" w:eastAsia="楷体_GB2312" w:cs="Arial"/>
                <w:iCs/>
                <w:sz w:val="24"/>
                <w:szCs w:val="24"/>
              </w:rPr>
              <w:t>功能及要求每优于1项加1分，加满为止；投标文件中提供有效的技术支持资料，否则，评标时可不予认可。</w:t>
            </w:r>
          </w:p>
        </w:tc>
        <w:tc>
          <w:tcPr>
            <w:tcW w:w="920" w:type="dxa"/>
            <w:vAlign w:val="center"/>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 w:hAnsi="仿宋" w:eastAsia="仿宋"/>
                <w:sz w:val="24"/>
              </w:rPr>
            </w:pPr>
            <w:r>
              <w:rPr>
                <w:rFonts w:hint="eastAsia" w:ascii="仿宋" w:hAnsi="仿宋" w:eastAsia="仿宋"/>
                <w:sz w:val="24"/>
              </w:rPr>
              <w:t>3</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Arial" w:hAnsi="Arial" w:eastAsia="楷体_GB2312" w:cs="Arial"/>
                <w:sz w:val="24"/>
              </w:rPr>
              <w:t>业绩要求</w:t>
            </w:r>
            <w:r>
              <w:rPr>
                <w:rFonts w:hint="eastAsia" w:ascii="仿宋" w:hAnsi="仿宋" w:eastAsia="仿宋"/>
                <w:sz w:val="24"/>
              </w:rPr>
              <w:t>2%</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Arial" w:hAnsi="Arial" w:eastAsia="楷体_GB2312" w:cs="Arial"/>
                <w:sz w:val="24"/>
              </w:rPr>
              <w:t>2</w:t>
            </w:r>
          </w:p>
        </w:tc>
        <w:tc>
          <w:tcPr>
            <w:tcW w:w="5140" w:type="dxa"/>
            <w:tcBorders>
              <w:top w:val="single" w:color="auto" w:sz="4" w:space="0"/>
              <w:left w:val="single" w:color="auto" w:sz="4" w:space="0"/>
              <w:bottom w:val="single" w:color="auto" w:sz="4" w:space="0"/>
              <w:right w:val="single" w:color="auto" w:sz="4" w:space="0"/>
            </w:tcBorders>
            <w:vAlign w:val="center"/>
          </w:tcPr>
          <w:p>
            <w:pPr>
              <w:rPr>
                <w:rFonts w:ascii="Arial" w:hAnsi="Arial" w:eastAsia="楷体_GB2312" w:cs="Arial"/>
                <w:sz w:val="24"/>
              </w:rPr>
            </w:pPr>
            <w:r>
              <w:rPr>
                <w:rFonts w:hint="eastAsia" w:ascii="Arial" w:hAnsi="Arial" w:eastAsia="楷体_GB2312" w:cs="Arial"/>
                <w:sz w:val="24"/>
              </w:rPr>
              <w:t>投标人提供的制造商近</w:t>
            </w:r>
            <w:r>
              <w:rPr>
                <w:rFonts w:ascii="Arial" w:hAnsi="Arial" w:eastAsia="楷体_GB2312" w:cs="Arial"/>
                <w:sz w:val="24"/>
              </w:rPr>
              <w:t>3</w:t>
            </w:r>
            <w:r>
              <w:rPr>
                <w:rFonts w:hint="eastAsia" w:ascii="Arial" w:hAnsi="Arial" w:eastAsia="楷体_GB2312" w:cs="Arial"/>
                <w:sz w:val="24"/>
              </w:rPr>
              <w:t>年（2017年1月1日</w:t>
            </w:r>
            <w:r>
              <w:rPr>
                <w:rFonts w:ascii="Arial" w:hAnsi="Arial" w:eastAsia="楷体_GB2312" w:cs="Arial"/>
                <w:sz w:val="24"/>
              </w:rPr>
              <w:t>至投标截止日止</w:t>
            </w:r>
            <w:r>
              <w:rPr>
                <w:rFonts w:hint="eastAsia" w:ascii="Arial" w:hAnsi="Arial" w:eastAsia="楷体_GB2312" w:cs="Arial"/>
                <w:sz w:val="24"/>
              </w:rPr>
              <w:t>）具有真实有效的同类设备业绩的数量，由多到少进行排序，第1名得2分，第2名得1分，以此类推，最低得0分；</w:t>
            </w:r>
          </w:p>
          <w:p>
            <w:pPr>
              <w:rPr>
                <w:rFonts w:ascii="仿宋" w:hAnsi="仿宋" w:eastAsia="仿宋"/>
                <w:sz w:val="24"/>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 w:hAnsi="仿宋" w:eastAsia="仿宋"/>
                <w:sz w:val="24"/>
              </w:rPr>
            </w:pPr>
            <w:r>
              <w:rPr>
                <w:rFonts w:hint="eastAsia" w:ascii="仿宋" w:hAnsi="仿宋" w:eastAsia="仿宋"/>
                <w:sz w:val="24"/>
              </w:rPr>
              <w:t>4</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Arial" w:hAnsi="Arial" w:eastAsia="楷体_GB2312" w:cs="Arial"/>
                <w:sz w:val="24"/>
              </w:rPr>
              <w:t>质量保修期</w:t>
            </w:r>
            <w:r>
              <w:rPr>
                <w:rFonts w:hint="eastAsia" w:ascii="仿宋" w:hAnsi="仿宋" w:eastAsia="仿宋"/>
                <w:sz w:val="24"/>
              </w:rPr>
              <w:t>4%</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Arial" w:hAnsi="Arial" w:eastAsia="楷体_GB2312" w:cs="Arial"/>
                <w:sz w:val="24"/>
              </w:rPr>
              <w:t>4</w:t>
            </w:r>
          </w:p>
        </w:tc>
        <w:tc>
          <w:tcPr>
            <w:tcW w:w="5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Arial" w:hAnsi="Arial" w:eastAsia="楷体_GB2312" w:cs="Arial"/>
                <w:sz w:val="24"/>
              </w:rPr>
              <w:t>在满足招标文件规定的得2分，整机质量保修期每增加6个月（不足6个月不予考虑），加1分，最高为4分；</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 w:hAnsi="仿宋" w:eastAsia="仿宋"/>
                <w:sz w:val="24"/>
              </w:rPr>
            </w:pPr>
            <w:r>
              <w:rPr>
                <w:rFonts w:hint="eastAsia" w:ascii="仿宋" w:hAnsi="仿宋" w:eastAsia="仿宋"/>
                <w:sz w:val="24"/>
              </w:rPr>
              <w:t>5</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Arial" w:hAnsi="Arial" w:eastAsia="楷体_GB2312" w:cs="Arial"/>
                <w:sz w:val="24"/>
              </w:rPr>
              <w:t>安装调试服务</w:t>
            </w:r>
            <w:r>
              <w:rPr>
                <w:rFonts w:hint="eastAsia" w:ascii="仿宋" w:hAnsi="仿宋" w:eastAsia="仿宋"/>
                <w:sz w:val="24"/>
              </w:rPr>
              <w:t>1%</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Arial" w:hAnsi="Arial" w:eastAsia="楷体_GB2312" w:cs="Arial"/>
                <w:sz w:val="24"/>
              </w:rPr>
              <w:t>2</w:t>
            </w:r>
          </w:p>
        </w:tc>
        <w:tc>
          <w:tcPr>
            <w:tcW w:w="5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Arial" w:hAnsi="Arial" w:eastAsia="楷体_GB2312" w:cs="Arial"/>
                <w:sz w:val="24"/>
              </w:rPr>
              <w:t>提供了详细、可行的现场安装调试方案、完善的人员培训方案（含现场服务人员经验、人员数量、培训课时等方面），得2分；不满足上述情况，得0分。</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 w:hAnsi="仿宋" w:eastAsia="仿宋"/>
                <w:sz w:val="24"/>
              </w:rPr>
            </w:pPr>
            <w:r>
              <w:rPr>
                <w:rFonts w:hint="eastAsia" w:ascii="仿宋" w:hAnsi="仿宋" w:eastAsia="仿宋"/>
                <w:sz w:val="24"/>
              </w:rPr>
              <w:t>6</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Arial" w:hAnsi="Arial" w:eastAsia="楷体_GB2312" w:cs="Arial"/>
                <w:sz w:val="24"/>
              </w:rPr>
              <w:t>售后服务</w:t>
            </w:r>
            <w:r>
              <w:rPr>
                <w:rFonts w:hint="eastAsia" w:ascii="仿宋" w:hAnsi="仿宋" w:eastAsia="仿宋"/>
                <w:sz w:val="24"/>
              </w:rPr>
              <w:t>2%</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Arial" w:hAnsi="Arial" w:eastAsia="楷体_GB2312" w:cs="Arial"/>
                <w:sz w:val="24"/>
              </w:rPr>
              <w:t>2</w:t>
            </w:r>
          </w:p>
        </w:tc>
        <w:tc>
          <w:tcPr>
            <w:tcW w:w="5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Arial" w:hAnsi="Arial" w:eastAsia="楷体_GB2312" w:cs="Arial"/>
                <w:sz w:val="24"/>
              </w:rPr>
              <w:t>提供了详细、可行的售后服务实施方案（含服务网络的设置、配件更换及时性等方面），且提供售后服务承诺函的，得2分；不满足上述情况，得0分。</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 w:hAnsi="仿宋" w:eastAsia="仿宋"/>
                <w:sz w:val="24"/>
              </w:rPr>
            </w:pPr>
            <w:r>
              <w:rPr>
                <w:rFonts w:hint="eastAsia" w:ascii="仿宋" w:hAnsi="仿宋" w:eastAsia="仿宋"/>
                <w:sz w:val="24"/>
              </w:rPr>
              <w:t>7</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Arial" w:hAnsi="Arial" w:eastAsia="楷体_GB2312" w:cs="Arial"/>
                <w:bCs/>
                <w:sz w:val="24"/>
                <w:szCs w:val="24"/>
              </w:rPr>
              <w:t>配置方案</w:t>
            </w:r>
            <w:r>
              <w:rPr>
                <w:rFonts w:hint="eastAsia" w:ascii="仿宋" w:hAnsi="仿宋" w:eastAsia="仿宋"/>
                <w:sz w:val="24"/>
              </w:rPr>
              <w:t>10%</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Arial" w:hAnsi="Arial" w:eastAsia="楷体_GB2312" w:cs="Arial"/>
                <w:iCs/>
                <w:sz w:val="24"/>
                <w:szCs w:val="24"/>
              </w:rPr>
              <w:t>10</w:t>
            </w:r>
          </w:p>
        </w:tc>
        <w:tc>
          <w:tcPr>
            <w:tcW w:w="5140" w:type="dxa"/>
            <w:tcBorders>
              <w:top w:val="single" w:color="auto" w:sz="4" w:space="0"/>
              <w:left w:val="single" w:color="auto" w:sz="4" w:space="0"/>
              <w:bottom w:val="single" w:color="auto" w:sz="4" w:space="0"/>
              <w:right w:val="single" w:color="auto" w:sz="4" w:space="0"/>
            </w:tcBorders>
            <w:vAlign w:val="center"/>
          </w:tcPr>
          <w:p>
            <w:pPr>
              <w:rPr>
                <w:rFonts w:ascii="Arial" w:hAnsi="Arial" w:eastAsia="楷体_GB2312" w:cs="Arial"/>
                <w:iCs/>
                <w:sz w:val="24"/>
                <w:szCs w:val="24"/>
              </w:rPr>
            </w:pPr>
            <w:r>
              <w:rPr>
                <w:rFonts w:hint="eastAsia" w:ascii="Arial" w:hAnsi="Arial" w:eastAsia="楷体_GB2312" w:cs="Arial"/>
                <w:iCs/>
                <w:sz w:val="24"/>
                <w:szCs w:val="24"/>
              </w:rPr>
              <w:t>根据投标人配置方案（包括主要元器件品牌、型号等）酌情给分。</w:t>
            </w:r>
          </w:p>
          <w:p>
            <w:pPr>
              <w:rPr>
                <w:rFonts w:ascii="Arial" w:hAnsi="Arial" w:eastAsia="楷体_GB2312" w:cs="Arial"/>
                <w:iCs/>
                <w:sz w:val="24"/>
                <w:szCs w:val="24"/>
              </w:rPr>
            </w:pPr>
            <w:r>
              <w:rPr>
                <w:rFonts w:hint="eastAsia" w:ascii="Arial" w:hAnsi="Arial" w:eastAsia="楷体_GB2312" w:cs="Arial"/>
                <w:iCs/>
                <w:sz w:val="24"/>
                <w:szCs w:val="24"/>
              </w:rPr>
              <w:t>评价为优的投标人在［5</w:t>
            </w:r>
            <w:r>
              <w:rPr>
                <w:rFonts w:ascii="Arial" w:hAnsi="Arial" w:eastAsia="楷体_GB2312" w:cs="Arial"/>
                <w:iCs/>
                <w:sz w:val="24"/>
                <w:szCs w:val="24"/>
              </w:rPr>
              <w:t>-</w:t>
            </w:r>
            <w:r>
              <w:rPr>
                <w:rFonts w:hint="eastAsia" w:ascii="Arial" w:hAnsi="Arial" w:eastAsia="楷体_GB2312" w:cs="Arial"/>
                <w:iCs/>
                <w:sz w:val="24"/>
                <w:szCs w:val="24"/>
              </w:rPr>
              <w:t>6］分区间中打分，良的在［4</w:t>
            </w:r>
            <w:r>
              <w:rPr>
                <w:rFonts w:ascii="Arial" w:hAnsi="Arial" w:eastAsia="楷体_GB2312" w:cs="Arial"/>
                <w:iCs/>
                <w:sz w:val="24"/>
                <w:szCs w:val="24"/>
              </w:rPr>
              <w:t>-</w:t>
            </w:r>
            <w:r>
              <w:rPr>
                <w:rFonts w:hint="eastAsia" w:ascii="Arial" w:hAnsi="Arial" w:eastAsia="楷体_GB2312" w:cs="Arial"/>
                <w:iCs/>
                <w:sz w:val="24"/>
                <w:szCs w:val="24"/>
              </w:rPr>
              <w:t>5（不含5）］分区间中打分，中的在［2</w:t>
            </w:r>
            <w:r>
              <w:rPr>
                <w:rFonts w:ascii="Arial" w:hAnsi="Arial" w:eastAsia="楷体_GB2312" w:cs="Arial"/>
                <w:iCs/>
                <w:sz w:val="24"/>
                <w:szCs w:val="24"/>
              </w:rPr>
              <w:t>-</w:t>
            </w:r>
            <w:r>
              <w:rPr>
                <w:rFonts w:hint="eastAsia" w:ascii="Arial" w:hAnsi="Arial" w:eastAsia="楷体_GB2312" w:cs="Arial"/>
                <w:iCs/>
                <w:sz w:val="24"/>
                <w:szCs w:val="24"/>
              </w:rPr>
              <w:t>4（不含4）］分区间中打分，差的［</w:t>
            </w:r>
            <w:r>
              <w:rPr>
                <w:rFonts w:ascii="Arial" w:hAnsi="Arial" w:eastAsia="楷体_GB2312" w:cs="Arial"/>
                <w:iCs/>
                <w:sz w:val="24"/>
                <w:szCs w:val="24"/>
              </w:rPr>
              <w:t>0-</w:t>
            </w:r>
            <w:r>
              <w:rPr>
                <w:rFonts w:hint="eastAsia" w:ascii="Arial" w:hAnsi="Arial" w:eastAsia="楷体_GB2312" w:cs="Arial"/>
                <w:iCs/>
                <w:sz w:val="24"/>
                <w:szCs w:val="24"/>
              </w:rPr>
              <w:t>2（不含2）］分区间中打分。</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仿宋" w:hAnsi="仿宋" w:eastAsia="仿宋"/>
                <w:sz w:val="24"/>
              </w:rPr>
            </w:pPr>
          </w:p>
        </w:tc>
      </w:tr>
    </w:tbl>
    <w:p>
      <w:pPr>
        <w:pStyle w:val="16"/>
        <w:tabs>
          <w:tab w:val="left" w:pos="600"/>
        </w:tabs>
        <w:spacing w:line="400" w:lineRule="exact"/>
        <w:ind w:firstLine="480" w:firstLineChars="200"/>
        <w:rPr>
          <w:rFonts w:ascii="仿宋" w:hAnsi="仿宋" w:eastAsia="仿宋"/>
          <w:sz w:val="24"/>
          <w:szCs w:val="24"/>
        </w:rPr>
      </w:pPr>
    </w:p>
    <w:bookmarkEnd w:id="170"/>
    <w:p>
      <w:pPr>
        <w:pStyle w:val="4"/>
        <w:spacing w:line="400" w:lineRule="exact"/>
        <w:ind w:firstLine="482" w:firstLineChars="200"/>
        <w:rPr>
          <w:rFonts w:ascii="仿宋" w:hAnsi="仿宋" w:eastAsia="仿宋"/>
          <w:sz w:val="24"/>
        </w:rPr>
      </w:pPr>
      <w:bookmarkStart w:id="180" w:name="_Toc183682422"/>
      <w:bookmarkStart w:id="181" w:name="_Toc217446104"/>
      <w:bookmarkStart w:id="182" w:name="_Toc183582287"/>
      <w:bookmarkStart w:id="183" w:name="PO_默认文件内容_11"/>
      <w:r>
        <w:rPr>
          <w:rFonts w:hint="eastAsia" w:ascii="仿宋" w:hAnsi="仿宋" w:eastAsia="仿宋"/>
          <w:bCs/>
          <w:sz w:val="24"/>
        </w:rPr>
        <w:t>6．计算</w:t>
      </w:r>
      <w:r>
        <w:rPr>
          <w:rFonts w:hint="eastAsia" w:ascii="仿宋" w:hAnsi="仿宋" w:eastAsia="仿宋"/>
          <w:sz w:val="24"/>
        </w:rPr>
        <w:t>错误的修改</w:t>
      </w:r>
      <w:bookmarkEnd w:id="180"/>
      <w:bookmarkEnd w:id="181"/>
      <w:bookmarkEnd w:id="182"/>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6.1 投标文件中如果出现计算上或累加上的算术错误，可按以下原则进行修改：</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（1）用数字表示的金额和用文字表示的金额不一致，应以文字表示的金额为准。</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（2）单价和数量的乘积与总价不一致时，以单价为准，并修正总价。</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（3）单价金额小数点有明显错误的，以总价为准，修正单价。</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6.2  按上述修正错误的方法调整的投标报价应对投标人具有约束力。如果投标人不接受修正后的价格，其投标将被拒绝。</w:t>
      </w:r>
    </w:p>
    <w:p>
      <w:pPr>
        <w:pStyle w:val="3"/>
        <w:spacing w:line="400" w:lineRule="exact"/>
        <w:ind w:firstLine="482" w:firstLineChars="200"/>
        <w:rPr>
          <w:rFonts w:ascii="仿宋" w:hAnsi="仿宋" w:eastAsia="仿宋"/>
          <w:bCs w:val="0"/>
          <w:sz w:val="24"/>
          <w:szCs w:val="24"/>
        </w:rPr>
      </w:pPr>
      <w:bookmarkStart w:id="184" w:name="_Toc183582297"/>
      <w:bookmarkStart w:id="185" w:name="_Toc183682432"/>
      <w:bookmarkStart w:id="186" w:name="_Toc217446105"/>
      <w:bookmarkStart w:id="187" w:name="_Toc208849022"/>
      <w:r>
        <w:rPr>
          <w:rFonts w:hint="eastAsia" w:ascii="仿宋" w:hAnsi="仿宋" w:eastAsia="仿宋"/>
          <w:bCs w:val="0"/>
          <w:sz w:val="24"/>
          <w:szCs w:val="24"/>
        </w:rPr>
        <w:t xml:space="preserve">7. </w:t>
      </w:r>
      <w:bookmarkEnd w:id="184"/>
      <w:bookmarkEnd w:id="185"/>
      <w:bookmarkEnd w:id="186"/>
      <w:bookmarkEnd w:id="187"/>
      <w:r>
        <w:rPr>
          <w:rFonts w:hint="eastAsia" w:ascii="仿宋" w:hAnsi="仿宋" w:eastAsia="仿宋"/>
          <w:sz w:val="24"/>
          <w:szCs w:val="24"/>
        </w:rPr>
        <w:t>评标专家在</w:t>
      </w:r>
      <w:r>
        <w:rPr>
          <w:rFonts w:hint="eastAsia" w:ascii="仿宋" w:hAnsi="仿宋" w:eastAsia="仿宋"/>
          <w:sz w:val="24"/>
        </w:rPr>
        <w:t>招标采购活动</w:t>
      </w:r>
      <w:r>
        <w:rPr>
          <w:rFonts w:hint="eastAsia" w:ascii="仿宋" w:hAnsi="仿宋" w:eastAsia="仿宋"/>
          <w:sz w:val="24"/>
          <w:szCs w:val="24"/>
        </w:rPr>
        <w:t>中承担以下义务：</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7.1 遵纪守法，客观、公正、廉洁地履行职责。</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7.2 按照采购文件的规定要求对供应商的资格条件和供应商提供的产品价格、技术、服务等方面严格进行评判，</w:t>
      </w:r>
      <w:r>
        <w:rPr>
          <w:rFonts w:ascii="仿宋" w:hAnsi="仿宋" w:eastAsia="仿宋"/>
          <w:sz w:val="24"/>
        </w:rPr>
        <w:t>提供</w:t>
      </w:r>
      <w:r>
        <w:rPr>
          <w:rFonts w:hint="eastAsia" w:ascii="仿宋" w:hAnsi="仿宋" w:eastAsia="仿宋"/>
          <w:sz w:val="24"/>
        </w:rPr>
        <w:t>科学合理、公平公正</w:t>
      </w:r>
      <w:r>
        <w:rPr>
          <w:rFonts w:ascii="仿宋" w:hAnsi="仿宋" w:eastAsia="仿宋"/>
          <w:sz w:val="24"/>
        </w:rPr>
        <w:t>的评审意见</w:t>
      </w:r>
      <w:r>
        <w:rPr>
          <w:rFonts w:hint="eastAsia" w:ascii="仿宋" w:hAnsi="仿宋" w:eastAsia="仿宋"/>
          <w:sz w:val="24"/>
        </w:rPr>
        <w:t>，参与起草评审报告，并予签字确认。</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7.3 保守秘密。不得透露采购文件咨询情况，不得泄漏供应商的投标文件及知悉的商业秘密，不得向供应商透露评审情况。</w:t>
      </w:r>
    </w:p>
    <w:p>
      <w:pPr>
        <w:pStyle w:val="3"/>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8.重新招标或终止招标</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本次招标活动中，出现下列情形之一的，予以重新招标或终止招标：</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（1）所有投标都不符合招标文件要求，并被全部否决的；</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（2）出现影响招标采购公正的违法、违规行为的；</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（3）因重大变故，招标采购任务取消的；</w:t>
      </w:r>
    </w:p>
    <w:p>
      <w:pPr>
        <w:widowControl/>
        <w:autoSpaceDE w:val="0"/>
        <w:autoSpaceDN w:val="0"/>
        <w:spacing w:line="400" w:lineRule="exact"/>
        <w:ind w:right="53" w:firstLine="480" w:firstLineChars="200"/>
        <w:textAlignment w:val="bottom"/>
        <w:rPr>
          <w:rFonts w:ascii="仿宋" w:hAnsi="仿宋" w:eastAsia="仿宋"/>
          <w:sz w:val="24"/>
        </w:rPr>
        <w:sectPr>
          <w:pgSz w:w="11906" w:h="16838"/>
          <w:pgMar w:top="1440" w:right="1800" w:bottom="1440" w:left="1800" w:header="851" w:footer="992" w:gutter="0"/>
          <w:cols w:space="720" w:num="1"/>
          <w:docGrid w:type="lines" w:linePitch="312" w:charSpace="0"/>
        </w:sectPr>
      </w:pPr>
      <w:r>
        <w:rPr>
          <w:rFonts w:hint="eastAsia" w:ascii="仿宋" w:hAnsi="仿宋" w:eastAsia="仿宋"/>
          <w:sz w:val="24"/>
        </w:rPr>
        <w:t>重新招标或终止招标的，招标采购单位应在重庆交通职业学院官网上公告，并公告详细理由。</w:t>
      </w:r>
      <w:bookmarkEnd w:id="183"/>
      <w:bookmarkStart w:id="189" w:name="_GoBack"/>
      <w:bookmarkEnd w:id="189"/>
      <w:bookmarkStart w:id="188" w:name="PO_默认文件内容_45"/>
    </w:p>
    <w:tbl>
      <w:tblPr>
        <w:tblStyle w:val="31"/>
        <w:tblW w:w="14314" w:type="dxa"/>
        <w:tblInd w:w="0" w:type="dxa"/>
        <w:tblLayout w:type="fixed"/>
        <w:tblCellMar>
          <w:top w:w="15" w:type="dxa"/>
          <w:left w:w="15" w:type="dxa"/>
          <w:bottom w:w="15" w:type="dxa"/>
          <w:right w:w="15" w:type="dxa"/>
        </w:tblCellMar>
      </w:tblPr>
      <w:tblGrid>
        <w:gridCol w:w="14314"/>
      </w:tblGrid>
      <w:tr>
        <w:tblPrEx>
          <w:tblCellMar>
            <w:top w:w="15" w:type="dxa"/>
            <w:left w:w="15" w:type="dxa"/>
            <w:bottom w:w="15" w:type="dxa"/>
            <w:right w:w="15" w:type="dxa"/>
          </w:tblCellMar>
        </w:tblPrEx>
        <w:trPr>
          <w:trHeight w:val="898" w:hRule="atLeast"/>
        </w:trPr>
        <w:tc>
          <w:tcPr>
            <w:tcW w:w="14314" w:type="dxa"/>
            <w:vAlign w:val="bottom"/>
          </w:tcPr>
          <w:p>
            <w:pPr>
              <w:widowControl/>
              <w:jc w:val="left"/>
              <w:rPr>
                <w:rFonts w:ascii="仿宋" w:hAnsi="仿宋" w:eastAsia="仿宋"/>
                <w:b/>
                <w:bCs/>
                <w:sz w:val="24"/>
                <w:szCs w:val="24"/>
              </w:rPr>
            </w:pPr>
            <w:r>
              <w:rPr>
                <w:rFonts w:hint="eastAsia" w:ascii="仿宋" w:hAnsi="仿宋" w:eastAsia="仿宋" w:cs="仿宋"/>
                <w:b/>
                <w:bCs/>
                <w:sz w:val="24"/>
                <w:szCs w:val="24"/>
              </w:rPr>
              <w:t>附件二：</w:t>
            </w:r>
            <w:r>
              <w:rPr>
                <w:rFonts w:hint="eastAsia" w:ascii="仿宋" w:hAnsi="仿宋"/>
                <w:b/>
                <w:sz w:val="24"/>
              </w:rPr>
              <w:t>递交投标文件签收表</w:t>
            </w:r>
          </w:p>
          <w:tbl>
            <w:tblPr>
              <w:tblStyle w:val="31"/>
              <w:tblW w:w="12568" w:type="dxa"/>
              <w:tblInd w:w="2" w:type="dxa"/>
              <w:tblLayout w:type="fixed"/>
              <w:tblCellMar>
                <w:top w:w="15" w:type="dxa"/>
                <w:left w:w="15" w:type="dxa"/>
                <w:bottom w:w="15" w:type="dxa"/>
                <w:right w:w="15" w:type="dxa"/>
              </w:tblCellMar>
            </w:tblPr>
            <w:tblGrid>
              <w:gridCol w:w="1129"/>
              <w:gridCol w:w="1955"/>
              <w:gridCol w:w="1502"/>
              <w:gridCol w:w="2550"/>
              <w:gridCol w:w="1445"/>
              <w:gridCol w:w="2036"/>
              <w:gridCol w:w="1951"/>
            </w:tblGrid>
            <w:tr>
              <w:trPr>
                <w:gridAfter w:val="2"/>
                <w:wAfter w:w="3987" w:type="dxa"/>
                <w:trHeight w:val="463" w:hRule="atLeast"/>
              </w:trPr>
              <w:tc>
                <w:tcPr>
                  <w:tcW w:w="1129" w:type="dxa"/>
                  <w:vAlign w:val="center"/>
                </w:tcPr>
                <w:p>
                  <w:pPr>
                    <w:widowControl/>
                    <w:jc w:val="left"/>
                    <w:textAlignment w:val="center"/>
                    <w:rPr>
                      <w:rFonts w:hAnsi="宋体"/>
                      <w:b/>
                      <w:bCs/>
                      <w:sz w:val="20"/>
                    </w:rPr>
                  </w:pPr>
                  <w:r>
                    <w:rPr>
                      <w:rFonts w:hint="eastAsia" w:hAnsi="宋体" w:cs="宋体"/>
                      <w:b/>
                      <w:bCs/>
                      <w:sz w:val="20"/>
                    </w:rPr>
                    <w:t>项目名称：</w:t>
                  </w:r>
                </w:p>
              </w:tc>
              <w:tc>
                <w:tcPr>
                  <w:tcW w:w="6007" w:type="dxa"/>
                  <w:gridSpan w:val="3"/>
                  <w:vAlign w:val="center"/>
                </w:tcPr>
                <w:p>
                  <w:pPr>
                    <w:jc w:val="left"/>
                    <w:rPr>
                      <w:rFonts w:hAnsi="宋体"/>
                      <w:b/>
                      <w:bCs/>
                      <w:sz w:val="20"/>
                    </w:rPr>
                  </w:pPr>
                </w:p>
              </w:tc>
              <w:tc>
                <w:tcPr>
                  <w:tcW w:w="1445" w:type="dxa"/>
                  <w:vAlign w:val="center"/>
                </w:tcPr>
                <w:p>
                  <w:pPr>
                    <w:widowControl/>
                    <w:jc w:val="right"/>
                    <w:textAlignment w:val="center"/>
                    <w:rPr>
                      <w:rFonts w:hAnsi="宋体"/>
                      <w:b/>
                      <w:bCs/>
                      <w:sz w:val="20"/>
                    </w:rPr>
                  </w:pPr>
                  <w:r>
                    <w:rPr>
                      <w:rFonts w:hint="eastAsia" w:hAnsi="宋体" w:cs="宋体"/>
                      <w:b/>
                      <w:bCs/>
                      <w:sz w:val="20"/>
                    </w:rPr>
                    <w:t>招标编号：</w:t>
                  </w:r>
                </w:p>
              </w:tc>
            </w:tr>
            <w:tr>
              <w:tblPrEx>
                <w:tblCellMar>
                  <w:top w:w="15" w:type="dxa"/>
                  <w:left w:w="15" w:type="dxa"/>
                  <w:bottom w:w="15" w:type="dxa"/>
                  <w:right w:w="15" w:type="dxa"/>
                </w:tblCellMar>
              </w:tblPrEx>
              <w:trPr>
                <w:gridAfter w:val="2"/>
                <w:wAfter w:w="3987" w:type="dxa"/>
                <w:trHeight w:val="463" w:hRule="atLeast"/>
              </w:trPr>
              <w:tc>
                <w:tcPr>
                  <w:tcW w:w="1129" w:type="dxa"/>
                  <w:tcBorders>
                    <w:bottom w:val="single" w:color="000000" w:sz="12" w:space="0"/>
                  </w:tcBorders>
                  <w:vAlign w:val="center"/>
                </w:tcPr>
                <w:p>
                  <w:pPr>
                    <w:widowControl/>
                    <w:jc w:val="left"/>
                    <w:textAlignment w:val="center"/>
                    <w:rPr>
                      <w:rFonts w:hAnsi="宋体"/>
                      <w:b/>
                      <w:bCs/>
                      <w:sz w:val="20"/>
                    </w:rPr>
                  </w:pPr>
                  <w:r>
                    <w:rPr>
                      <w:rFonts w:hint="eastAsia" w:hAnsi="宋体" w:cs="宋体"/>
                      <w:b/>
                      <w:bCs/>
                      <w:sz w:val="20"/>
                    </w:rPr>
                    <w:t>开标时间：</w:t>
                  </w:r>
                </w:p>
              </w:tc>
              <w:tc>
                <w:tcPr>
                  <w:tcW w:w="1955" w:type="dxa"/>
                  <w:tcBorders>
                    <w:bottom w:val="single" w:color="000000" w:sz="12" w:space="0"/>
                  </w:tcBorders>
                  <w:vAlign w:val="center"/>
                </w:tcPr>
                <w:p>
                  <w:pPr>
                    <w:rPr>
                      <w:rFonts w:hAnsi="宋体"/>
                      <w:b/>
                      <w:bCs/>
                      <w:sz w:val="20"/>
                    </w:rPr>
                  </w:pPr>
                </w:p>
              </w:tc>
              <w:tc>
                <w:tcPr>
                  <w:tcW w:w="1502" w:type="dxa"/>
                  <w:tcBorders>
                    <w:bottom w:val="single" w:color="000000" w:sz="12" w:space="0"/>
                  </w:tcBorders>
                  <w:vAlign w:val="center"/>
                </w:tcPr>
                <w:p>
                  <w:pPr>
                    <w:rPr>
                      <w:rFonts w:hAnsi="宋体"/>
                      <w:b/>
                      <w:bCs/>
                      <w:sz w:val="20"/>
                    </w:rPr>
                  </w:pPr>
                </w:p>
              </w:tc>
              <w:tc>
                <w:tcPr>
                  <w:tcW w:w="2550" w:type="dxa"/>
                  <w:tcBorders>
                    <w:bottom w:val="single" w:color="000000" w:sz="12" w:space="0"/>
                  </w:tcBorders>
                  <w:vAlign w:val="center"/>
                </w:tcPr>
                <w:p>
                  <w:pPr>
                    <w:rPr>
                      <w:rFonts w:hAnsi="宋体"/>
                      <w:sz w:val="20"/>
                    </w:rPr>
                  </w:pPr>
                </w:p>
              </w:tc>
              <w:tc>
                <w:tcPr>
                  <w:tcW w:w="1445" w:type="dxa"/>
                  <w:tcBorders>
                    <w:bottom w:val="single" w:color="000000" w:sz="12" w:space="0"/>
                  </w:tcBorders>
                  <w:vAlign w:val="center"/>
                </w:tcPr>
                <w:p>
                  <w:pPr>
                    <w:widowControl/>
                    <w:jc w:val="right"/>
                    <w:textAlignment w:val="center"/>
                    <w:rPr>
                      <w:rFonts w:hAnsi="宋体"/>
                      <w:b/>
                      <w:bCs/>
                      <w:sz w:val="20"/>
                    </w:rPr>
                  </w:pPr>
                  <w:r>
                    <w:rPr>
                      <w:rFonts w:hint="eastAsia" w:hAnsi="宋体" w:cs="宋体"/>
                      <w:b/>
                      <w:bCs/>
                      <w:sz w:val="20"/>
                    </w:rPr>
                    <w:t>开标地点：</w:t>
                  </w:r>
                </w:p>
              </w:tc>
            </w:tr>
            <w:tr>
              <w:tblPrEx>
                <w:tblCellMar>
                  <w:top w:w="15" w:type="dxa"/>
                  <w:left w:w="15" w:type="dxa"/>
                  <w:bottom w:w="15" w:type="dxa"/>
                  <w:right w:w="15" w:type="dxa"/>
                </w:tblCellMar>
              </w:tblPrEx>
              <w:trPr>
                <w:trHeight w:val="1231" w:hRule="atLeast"/>
              </w:trPr>
              <w:tc>
                <w:tcPr>
                  <w:tcW w:w="1129"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Ansi="宋体"/>
                      <w:b/>
                      <w:bCs/>
                      <w:sz w:val="20"/>
                    </w:rPr>
                  </w:pPr>
                  <w:r>
                    <w:rPr>
                      <w:rFonts w:hint="eastAsia" w:hAnsi="宋体" w:cs="宋体"/>
                      <w:b/>
                      <w:bCs/>
                      <w:sz w:val="20"/>
                    </w:rPr>
                    <w:t>包号</w:t>
                  </w:r>
                </w:p>
              </w:tc>
              <w:tc>
                <w:tcPr>
                  <w:tcW w:w="1955"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Ansi="宋体"/>
                      <w:b/>
                      <w:bCs/>
                      <w:sz w:val="20"/>
                    </w:rPr>
                  </w:pPr>
                  <w:r>
                    <w:rPr>
                      <w:rFonts w:hint="eastAsia" w:hAnsi="宋体" w:cs="宋体"/>
                      <w:b/>
                      <w:bCs/>
                      <w:sz w:val="20"/>
                    </w:rPr>
                    <w:t>投标单位</w:t>
                  </w:r>
                </w:p>
              </w:tc>
              <w:tc>
                <w:tcPr>
                  <w:tcW w:w="1502"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Ansi="宋体"/>
                      <w:b/>
                      <w:bCs/>
                      <w:sz w:val="20"/>
                    </w:rPr>
                  </w:pPr>
                  <w:r>
                    <w:rPr>
                      <w:rFonts w:hint="eastAsia" w:hAnsi="宋体" w:cs="宋体"/>
                      <w:b/>
                      <w:bCs/>
                      <w:sz w:val="20"/>
                    </w:rPr>
                    <w:t>制造商</w:t>
                  </w:r>
                </w:p>
              </w:tc>
              <w:tc>
                <w:tcPr>
                  <w:tcW w:w="2550" w:type="dxa"/>
                  <w:tcBorders>
                    <w:top w:val="single" w:color="000000" w:sz="12" w:space="0"/>
                    <w:left w:val="single" w:color="000000" w:sz="4" w:space="0"/>
                    <w:bottom w:val="single" w:color="000000" w:sz="4" w:space="0"/>
                  </w:tcBorders>
                  <w:vAlign w:val="center"/>
                </w:tcPr>
                <w:p>
                  <w:pPr>
                    <w:widowControl/>
                    <w:jc w:val="center"/>
                    <w:textAlignment w:val="center"/>
                    <w:rPr>
                      <w:rFonts w:hAnsi="宋体"/>
                      <w:b/>
                      <w:bCs/>
                      <w:sz w:val="20"/>
                    </w:rPr>
                  </w:pPr>
                  <w:r>
                    <w:rPr>
                      <w:rFonts w:hint="eastAsia" w:hAnsi="宋体" w:cs="宋体"/>
                      <w:b/>
                      <w:bCs/>
                      <w:sz w:val="20"/>
                    </w:rPr>
                    <w:t>递交时间</w:t>
                  </w:r>
                </w:p>
              </w:tc>
              <w:tc>
                <w:tcPr>
                  <w:tcW w:w="1445"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sz w:val="20"/>
                    </w:rPr>
                  </w:pPr>
                  <w:r>
                    <w:rPr>
                      <w:rFonts w:hint="eastAsia" w:hAnsi="宋体" w:cs="宋体"/>
                      <w:b/>
                      <w:bCs/>
                      <w:sz w:val="20"/>
                    </w:rPr>
                    <w:t>法人代表</w:t>
                  </w:r>
                </w:p>
                <w:p>
                  <w:pPr>
                    <w:widowControl/>
                    <w:jc w:val="center"/>
                    <w:textAlignment w:val="center"/>
                    <w:rPr>
                      <w:rFonts w:hAnsi="宋体"/>
                      <w:b/>
                      <w:bCs/>
                      <w:sz w:val="20"/>
                    </w:rPr>
                  </w:pPr>
                  <w:r>
                    <w:rPr>
                      <w:rFonts w:hint="eastAsia" w:hAnsi="宋体" w:cs="宋体"/>
                      <w:b/>
                      <w:bCs/>
                      <w:sz w:val="20"/>
                    </w:rPr>
                    <w:t>或授权人</w:t>
                  </w:r>
                </w:p>
              </w:tc>
              <w:tc>
                <w:tcPr>
                  <w:tcW w:w="2036"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Ansi="宋体"/>
                      <w:b/>
                      <w:bCs/>
                      <w:sz w:val="20"/>
                    </w:rPr>
                  </w:pPr>
                  <w:r>
                    <w:rPr>
                      <w:rFonts w:hint="eastAsia" w:hAnsi="宋体" w:cs="宋体"/>
                      <w:b/>
                      <w:bCs/>
                      <w:sz w:val="20"/>
                    </w:rPr>
                    <w:t>联系方式</w:t>
                  </w:r>
                </w:p>
              </w:tc>
              <w:tc>
                <w:tcPr>
                  <w:tcW w:w="1951"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Ansi="宋体"/>
                      <w:b/>
                      <w:bCs/>
                      <w:sz w:val="20"/>
                    </w:rPr>
                  </w:pPr>
                  <w:r>
                    <w:rPr>
                      <w:rFonts w:hint="eastAsia" w:hAnsi="宋体" w:cs="宋体"/>
                      <w:b/>
                      <w:bCs/>
                      <w:sz w:val="20"/>
                    </w:rPr>
                    <w:t>递交数量</w:t>
                  </w:r>
                </w:p>
              </w:tc>
            </w:tr>
            <w:tr>
              <w:tblPrEx>
                <w:tblCellMar>
                  <w:top w:w="15" w:type="dxa"/>
                  <w:left w:w="15" w:type="dxa"/>
                  <w:bottom w:w="15" w:type="dxa"/>
                  <w:right w:w="15" w:type="dxa"/>
                </w:tblCellMar>
              </w:tblPrEx>
              <w:trPr>
                <w:trHeight w:val="542" w:hRule="atLeast"/>
              </w:trPr>
              <w:tc>
                <w:tcPr>
                  <w:tcW w:w="1129"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E?" w:hAnsi="E?" w:cs="E?"/>
                      <w:sz w:val="20"/>
                    </w:rPr>
                  </w:pPr>
                </w:p>
              </w:tc>
              <w:tc>
                <w:tcPr>
                  <w:tcW w:w="1955"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ascii="E?" w:hAnsi="E?" w:cs="E?"/>
                      <w:sz w:val="20"/>
                    </w:rPr>
                  </w:pPr>
                </w:p>
              </w:tc>
              <w:tc>
                <w:tcPr>
                  <w:tcW w:w="1502" w:type="dxa"/>
                  <w:vMerge w:val="restart"/>
                  <w:tcBorders>
                    <w:top w:val="single" w:color="000000" w:sz="4" w:space="0"/>
                    <w:left w:val="single" w:color="000000" w:sz="4" w:space="0"/>
                    <w:bottom w:val="single" w:color="000000" w:sz="4" w:space="0"/>
                    <w:right w:val="single" w:color="000000" w:sz="4" w:space="0"/>
                  </w:tcBorders>
                </w:tcPr>
                <w:p>
                  <w:pPr>
                    <w:jc w:val="center"/>
                    <w:rPr>
                      <w:rFonts w:ascii="E?" w:hAnsi="E?" w:cs="E?"/>
                      <w:sz w:val="20"/>
                    </w:rPr>
                  </w:pPr>
                </w:p>
              </w:tc>
              <w:tc>
                <w:tcPr>
                  <w:tcW w:w="2550" w:type="dxa"/>
                  <w:vMerge w:val="restart"/>
                  <w:tcBorders>
                    <w:top w:val="single" w:color="000000" w:sz="4" w:space="0"/>
                    <w:left w:val="single" w:color="000000" w:sz="4" w:space="0"/>
                  </w:tcBorders>
                  <w:vAlign w:val="center"/>
                </w:tcPr>
                <w:p>
                  <w:pPr>
                    <w:widowControl/>
                    <w:jc w:val="center"/>
                    <w:textAlignment w:val="center"/>
                    <w:rPr>
                      <w:rFonts w:ascii="E?" w:hAnsi="E?" w:cs="E?"/>
                      <w:sz w:val="20"/>
                      <w:u w:val="single"/>
                    </w:rPr>
                  </w:pPr>
                  <w:r>
                    <w:rPr>
                      <w:rFonts w:hint="eastAsia" w:hAnsi="宋体" w:cs="宋体"/>
                      <w:sz w:val="20"/>
                    </w:rPr>
                    <w:t>年月日</w:t>
                  </w:r>
                </w:p>
                <w:p>
                  <w:pPr>
                    <w:widowControl/>
                    <w:jc w:val="center"/>
                    <w:textAlignment w:val="center"/>
                    <w:rPr>
                      <w:rFonts w:hAnsi="宋体"/>
                      <w:b/>
                      <w:bCs/>
                      <w:sz w:val="20"/>
                    </w:rPr>
                  </w:pPr>
                  <w:r>
                    <w:rPr>
                      <w:rFonts w:hint="eastAsia" w:hAnsi="宋体" w:cs="宋体"/>
                      <w:sz w:val="20"/>
                    </w:rPr>
                    <w:t>时分</w:t>
                  </w:r>
                </w:p>
              </w:tc>
              <w:tc>
                <w:tcPr>
                  <w:tcW w:w="1445" w:type="dxa"/>
                  <w:vMerge w:val="restart"/>
                  <w:tcBorders>
                    <w:top w:val="single" w:color="000000" w:sz="4" w:space="0"/>
                    <w:left w:val="single" w:color="000000" w:sz="4" w:space="0"/>
                    <w:bottom w:val="single" w:color="000000" w:sz="4" w:space="0"/>
                    <w:right w:val="single" w:color="000000" w:sz="4" w:space="0"/>
                  </w:tcBorders>
                </w:tcPr>
                <w:p>
                  <w:pPr>
                    <w:jc w:val="center"/>
                    <w:rPr>
                      <w:rFonts w:ascii="E?" w:hAnsi="E?" w:cs="E?"/>
                      <w:sz w:val="20"/>
                    </w:rPr>
                  </w:pPr>
                </w:p>
              </w:tc>
              <w:tc>
                <w:tcPr>
                  <w:tcW w:w="2036" w:type="dxa"/>
                  <w:tcBorders>
                    <w:top w:val="single" w:color="000000" w:sz="4" w:space="0"/>
                    <w:left w:val="single" w:color="000000" w:sz="4" w:space="0"/>
                    <w:bottom w:val="single" w:color="000000" w:sz="4" w:space="0"/>
                    <w:right w:val="single" w:color="000000" w:sz="4" w:space="0"/>
                  </w:tcBorders>
                </w:tcPr>
                <w:p>
                  <w:pPr>
                    <w:widowControl/>
                    <w:textAlignment w:val="top"/>
                    <w:rPr>
                      <w:rFonts w:hAnsi="宋体"/>
                      <w:sz w:val="20"/>
                    </w:rPr>
                  </w:pPr>
                  <w:r>
                    <w:rPr>
                      <w:rFonts w:hint="eastAsia" w:hAnsi="宋体" w:cs="宋体"/>
                      <w:sz w:val="20"/>
                    </w:rPr>
                    <w:t>电话：</w:t>
                  </w:r>
                </w:p>
              </w:tc>
              <w:tc>
                <w:tcPr>
                  <w:tcW w:w="19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Ansi="宋体"/>
                      <w:sz w:val="20"/>
                    </w:rPr>
                  </w:pPr>
                  <w:r>
                    <w:rPr>
                      <w:rFonts w:hint="eastAsia" w:hAnsi="宋体" w:cs="宋体"/>
                      <w:sz w:val="20"/>
                    </w:rPr>
                    <w:t>正本</w:t>
                  </w:r>
                </w:p>
              </w:tc>
            </w:tr>
            <w:tr>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E?" w:hAnsi="E?" w:cs="E?"/>
                      <w:sz w:val="20"/>
                    </w:rPr>
                  </w:pP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E?" w:hAnsi="E?" w:cs="E?"/>
                      <w:sz w:val="20"/>
                    </w:rPr>
                  </w:pPr>
                </w:p>
              </w:tc>
              <w:tc>
                <w:tcPr>
                  <w:tcW w:w="1502" w:type="dxa"/>
                  <w:vMerge w:val="continue"/>
                  <w:tcBorders>
                    <w:top w:val="single" w:color="000000" w:sz="4" w:space="0"/>
                    <w:left w:val="single" w:color="000000" w:sz="4" w:space="0"/>
                    <w:bottom w:val="single" w:color="000000" w:sz="4" w:space="0"/>
                    <w:right w:val="single" w:color="000000" w:sz="4" w:space="0"/>
                  </w:tcBorders>
                </w:tcPr>
                <w:p>
                  <w:pPr>
                    <w:jc w:val="center"/>
                    <w:rPr>
                      <w:rFonts w:ascii="E?" w:hAnsi="E?" w:cs="E?"/>
                      <w:sz w:val="20"/>
                    </w:rPr>
                  </w:pPr>
                </w:p>
              </w:tc>
              <w:tc>
                <w:tcPr>
                  <w:tcW w:w="2550" w:type="dxa"/>
                  <w:vMerge w:val="continue"/>
                  <w:tcBorders>
                    <w:left w:val="single" w:color="000000" w:sz="4" w:space="0"/>
                  </w:tcBorders>
                  <w:vAlign w:val="center"/>
                </w:tcPr>
                <w:p>
                  <w:pPr>
                    <w:widowControl/>
                    <w:jc w:val="center"/>
                    <w:textAlignment w:val="center"/>
                    <w:rPr>
                      <w:rFonts w:ascii="E?" w:hAnsi="E?" w:cs="E?"/>
                      <w:b/>
                      <w:bCs/>
                      <w:sz w:val="20"/>
                      <w:u w:val="single"/>
                    </w:rPr>
                  </w:pPr>
                </w:p>
              </w:tc>
              <w:tc>
                <w:tcPr>
                  <w:tcW w:w="1445" w:type="dxa"/>
                  <w:vMerge w:val="continue"/>
                  <w:tcBorders>
                    <w:top w:val="single" w:color="000000" w:sz="4" w:space="0"/>
                    <w:left w:val="single" w:color="000000" w:sz="4" w:space="0"/>
                    <w:bottom w:val="single" w:color="000000" w:sz="4" w:space="0"/>
                    <w:right w:val="single" w:color="000000" w:sz="4" w:space="0"/>
                  </w:tcBorders>
                </w:tcPr>
                <w:p>
                  <w:pPr>
                    <w:jc w:val="center"/>
                    <w:rPr>
                      <w:rFonts w:ascii="E?" w:hAnsi="E?" w:cs="E?"/>
                      <w:sz w:val="20"/>
                    </w:rPr>
                  </w:pPr>
                </w:p>
              </w:tc>
              <w:tc>
                <w:tcPr>
                  <w:tcW w:w="2036" w:type="dxa"/>
                  <w:tcBorders>
                    <w:top w:val="single" w:color="000000" w:sz="4" w:space="0"/>
                    <w:left w:val="single" w:color="000000" w:sz="4" w:space="0"/>
                    <w:bottom w:val="single" w:color="000000" w:sz="4" w:space="0"/>
                    <w:right w:val="single" w:color="000000" w:sz="4" w:space="0"/>
                  </w:tcBorders>
                </w:tcPr>
                <w:p>
                  <w:pPr>
                    <w:widowControl/>
                    <w:textAlignment w:val="top"/>
                    <w:rPr>
                      <w:rFonts w:hAnsi="宋体"/>
                      <w:sz w:val="20"/>
                    </w:rPr>
                  </w:pPr>
                  <w:r>
                    <w:rPr>
                      <w:rFonts w:hint="eastAsia" w:hAnsi="宋体" w:cs="宋体"/>
                      <w:sz w:val="20"/>
                    </w:rPr>
                    <w:t>传真：</w:t>
                  </w:r>
                </w:p>
              </w:tc>
              <w:tc>
                <w:tcPr>
                  <w:tcW w:w="19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Ansi="宋体"/>
                      <w:sz w:val="20"/>
                    </w:rPr>
                  </w:pPr>
                  <w:r>
                    <w:rPr>
                      <w:rFonts w:hint="eastAsia" w:hAnsi="宋体" w:cs="宋体"/>
                      <w:sz w:val="20"/>
                    </w:rPr>
                    <w:t>副本</w:t>
                  </w:r>
                </w:p>
              </w:tc>
            </w:tr>
            <w:tr>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E?" w:hAnsi="E?" w:cs="E?"/>
                      <w:sz w:val="20"/>
                    </w:rPr>
                  </w:pP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E?" w:hAnsi="E?" w:cs="E?"/>
                      <w:sz w:val="20"/>
                    </w:rPr>
                  </w:pPr>
                </w:p>
              </w:tc>
              <w:tc>
                <w:tcPr>
                  <w:tcW w:w="1502" w:type="dxa"/>
                  <w:vMerge w:val="continue"/>
                  <w:tcBorders>
                    <w:top w:val="single" w:color="000000" w:sz="4" w:space="0"/>
                    <w:left w:val="single" w:color="000000" w:sz="4" w:space="0"/>
                    <w:bottom w:val="single" w:color="000000" w:sz="4" w:space="0"/>
                    <w:right w:val="single" w:color="000000" w:sz="4" w:space="0"/>
                  </w:tcBorders>
                </w:tcPr>
                <w:p>
                  <w:pPr>
                    <w:jc w:val="center"/>
                    <w:rPr>
                      <w:rFonts w:ascii="E?" w:hAnsi="E?" w:cs="E?"/>
                      <w:sz w:val="20"/>
                    </w:rPr>
                  </w:pPr>
                </w:p>
              </w:tc>
              <w:tc>
                <w:tcPr>
                  <w:tcW w:w="2550" w:type="dxa"/>
                  <w:vMerge w:val="continue"/>
                  <w:tcBorders>
                    <w:left w:val="single" w:color="000000" w:sz="4" w:space="0"/>
                  </w:tcBorders>
                  <w:vAlign w:val="center"/>
                </w:tcPr>
                <w:p>
                  <w:pPr>
                    <w:jc w:val="center"/>
                    <w:rPr>
                      <w:rFonts w:hAnsi="宋体"/>
                      <w:b/>
                      <w:bCs/>
                      <w:sz w:val="20"/>
                    </w:rPr>
                  </w:pPr>
                </w:p>
              </w:tc>
              <w:tc>
                <w:tcPr>
                  <w:tcW w:w="1445" w:type="dxa"/>
                  <w:vMerge w:val="continue"/>
                  <w:tcBorders>
                    <w:top w:val="single" w:color="000000" w:sz="4" w:space="0"/>
                    <w:left w:val="single" w:color="000000" w:sz="4" w:space="0"/>
                    <w:bottom w:val="single" w:color="000000" w:sz="4" w:space="0"/>
                    <w:right w:val="single" w:color="000000" w:sz="4" w:space="0"/>
                  </w:tcBorders>
                </w:tcPr>
                <w:p>
                  <w:pPr>
                    <w:jc w:val="center"/>
                    <w:rPr>
                      <w:rFonts w:ascii="E?" w:hAnsi="E?" w:cs="E?"/>
                      <w:sz w:val="20"/>
                    </w:rPr>
                  </w:pPr>
                </w:p>
              </w:tc>
              <w:tc>
                <w:tcPr>
                  <w:tcW w:w="2036" w:type="dxa"/>
                  <w:tcBorders>
                    <w:top w:val="single" w:color="000000" w:sz="4" w:space="0"/>
                    <w:left w:val="single" w:color="000000" w:sz="4" w:space="0"/>
                    <w:bottom w:val="single" w:color="000000" w:sz="4" w:space="0"/>
                    <w:right w:val="single" w:color="000000" w:sz="4" w:space="0"/>
                  </w:tcBorders>
                </w:tcPr>
                <w:p>
                  <w:pPr>
                    <w:widowControl/>
                    <w:textAlignment w:val="top"/>
                    <w:rPr>
                      <w:rFonts w:hAnsi="宋体"/>
                      <w:sz w:val="20"/>
                    </w:rPr>
                  </w:pPr>
                  <w:r>
                    <w:rPr>
                      <w:rFonts w:hint="eastAsia" w:hAnsi="宋体" w:cs="宋体"/>
                      <w:sz w:val="20"/>
                    </w:rPr>
                    <w:t>手机：</w:t>
                  </w:r>
                </w:p>
              </w:tc>
              <w:tc>
                <w:tcPr>
                  <w:tcW w:w="19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Ansi="宋体"/>
                      <w:sz w:val="20"/>
                    </w:rPr>
                  </w:pPr>
                  <w:r>
                    <w:rPr>
                      <w:rFonts w:hint="eastAsia" w:hAnsi="宋体" w:cs="宋体"/>
                      <w:sz w:val="20"/>
                    </w:rPr>
                    <w:t>开标一览表</w:t>
                  </w:r>
                </w:p>
              </w:tc>
            </w:tr>
            <w:tr>
              <w:tblPrEx>
                <w:tblCellMar>
                  <w:top w:w="15" w:type="dxa"/>
                  <w:left w:w="15" w:type="dxa"/>
                  <w:bottom w:w="15" w:type="dxa"/>
                  <w:right w:w="15" w:type="dxa"/>
                </w:tblCellMar>
              </w:tblPrEx>
              <w:trPr>
                <w:trHeight w:val="487" w:hRule="atLeast"/>
              </w:trPr>
              <w:tc>
                <w:tcPr>
                  <w:tcW w:w="112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ascii="E?" w:hAnsi="E?" w:cs="E?"/>
                      <w:sz w:val="20"/>
                    </w:rPr>
                  </w:pPr>
                </w:p>
              </w:tc>
              <w:tc>
                <w:tcPr>
                  <w:tcW w:w="1955" w:type="dxa"/>
                  <w:vMerge w:val="continue"/>
                  <w:tcBorders>
                    <w:top w:val="single" w:color="000000" w:sz="4" w:space="0"/>
                    <w:left w:val="single" w:color="000000" w:sz="4" w:space="0"/>
                    <w:bottom w:val="single" w:color="000000" w:sz="12" w:space="0"/>
                    <w:right w:val="single" w:color="000000" w:sz="4" w:space="0"/>
                  </w:tcBorders>
                  <w:vAlign w:val="center"/>
                </w:tcPr>
                <w:p>
                  <w:pPr>
                    <w:jc w:val="left"/>
                    <w:rPr>
                      <w:rFonts w:ascii="E?" w:hAnsi="E?" w:cs="E?"/>
                      <w:sz w:val="20"/>
                    </w:rPr>
                  </w:pPr>
                </w:p>
              </w:tc>
              <w:tc>
                <w:tcPr>
                  <w:tcW w:w="1502" w:type="dxa"/>
                  <w:vMerge w:val="continue"/>
                  <w:tcBorders>
                    <w:top w:val="single" w:color="000000" w:sz="4" w:space="0"/>
                    <w:left w:val="single" w:color="000000" w:sz="4" w:space="0"/>
                    <w:bottom w:val="single" w:color="000000" w:sz="12" w:space="0"/>
                    <w:right w:val="single" w:color="000000" w:sz="4" w:space="0"/>
                  </w:tcBorders>
                </w:tcPr>
                <w:p>
                  <w:pPr>
                    <w:jc w:val="center"/>
                    <w:rPr>
                      <w:rFonts w:ascii="E?" w:hAnsi="E?" w:cs="E?"/>
                      <w:sz w:val="20"/>
                    </w:rPr>
                  </w:pPr>
                </w:p>
              </w:tc>
              <w:tc>
                <w:tcPr>
                  <w:tcW w:w="2550" w:type="dxa"/>
                  <w:vMerge w:val="continue"/>
                  <w:tcBorders>
                    <w:left w:val="single" w:color="000000" w:sz="4" w:space="0"/>
                    <w:bottom w:val="single" w:color="000000" w:sz="12" w:space="0"/>
                  </w:tcBorders>
                  <w:vAlign w:val="center"/>
                </w:tcPr>
                <w:p>
                  <w:pPr>
                    <w:rPr>
                      <w:rFonts w:hAnsi="宋体"/>
                      <w:sz w:val="20"/>
                    </w:rPr>
                  </w:pPr>
                </w:p>
              </w:tc>
              <w:tc>
                <w:tcPr>
                  <w:tcW w:w="1445" w:type="dxa"/>
                  <w:vMerge w:val="continue"/>
                  <w:tcBorders>
                    <w:top w:val="single" w:color="000000" w:sz="4" w:space="0"/>
                    <w:left w:val="single" w:color="000000" w:sz="4" w:space="0"/>
                    <w:bottom w:val="single" w:color="000000" w:sz="12" w:space="0"/>
                    <w:right w:val="single" w:color="000000" w:sz="4" w:space="0"/>
                  </w:tcBorders>
                </w:tcPr>
                <w:p>
                  <w:pPr>
                    <w:jc w:val="center"/>
                    <w:rPr>
                      <w:rFonts w:ascii="E?" w:hAnsi="E?" w:cs="E?"/>
                      <w:sz w:val="20"/>
                    </w:rPr>
                  </w:pPr>
                </w:p>
              </w:tc>
              <w:tc>
                <w:tcPr>
                  <w:tcW w:w="2036" w:type="dxa"/>
                  <w:tcBorders>
                    <w:top w:val="single" w:color="000000" w:sz="4" w:space="0"/>
                    <w:left w:val="single" w:color="000000" w:sz="4" w:space="0"/>
                    <w:bottom w:val="single" w:color="000000" w:sz="12" w:space="0"/>
                    <w:right w:val="single" w:color="000000" w:sz="4" w:space="0"/>
                  </w:tcBorders>
                </w:tcPr>
                <w:p>
                  <w:pPr>
                    <w:rPr>
                      <w:rFonts w:hAnsi="宋体"/>
                      <w:sz w:val="20"/>
                    </w:rPr>
                  </w:pPr>
                </w:p>
              </w:tc>
              <w:tc>
                <w:tcPr>
                  <w:tcW w:w="1951" w:type="dxa"/>
                  <w:tcBorders>
                    <w:top w:val="single" w:color="000000" w:sz="4" w:space="0"/>
                    <w:left w:val="single" w:color="000000" w:sz="4" w:space="0"/>
                    <w:bottom w:val="single" w:color="000000" w:sz="12" w:space="0"/>
                    <w:right w:val="single" w:color="000000" w:sz="12" w:space="0"/>
                  </w:tcBorders>
                  <w:vAlign w:val="center"/>
                </w:tcPr>
                <w:p>
                  <w:pPr>
                    <w:widowControl/>
                    <w:jc w:val="left"/>
                    <w:textAlignment w:val="center"/>
                    <w:rPr>
                      <w:rFonts w:hAnsi="宋体"/>
                      <w:sz w:val="20"/>
                    </w:rPr>
                  </w:pPr>
                  <w:r>
                    <w:rPr>
                      <w:rFonts w:hint="eastAsia" w:hAnsi="宋体" w:cs="宋体"/>
                      <w:sz w:val="20"/>
                    </w:rPr>
                    <w:t>电子文档</w:t>
                  </w:r>
                </w:p>
              </w:tc>
            </w:tr>
            <w:tr>
              <w:tblPrEx>
                <w:tblCellMar>
                  <w:top w:w="15" w:type="dxa"/>
                  <w:left w:w="15" w:type="dxa"/>
                  <w:bottom w:w="15" w:type="dxa"/>
                  <w:right w:w="15" w:type="dxa"/>
                </w:tblCellMar>
              </w:tblPrEx>
              <w:trPr>
                <w:gridAfter w:val="6"/>
                <w:wAfter w:w="11439" w:type="dxa"/>
                <w:trHeight w:val="637" w:hRule="atLeast"/>
              </w:trPr>
              <w:tc>
                <w:tcPr>
                  <w:tcW w:w="1129" w:type="dxa"/>
                  <w:tcBorders>
                    <w:top w:val="single" w:color="000000" w:sz="12" w:space="0"/>
                  </w:tcBorders>
                  <w:vAlign w:val="center"/>
                </w:tcPr>
                <w:p>
                  <w:pPr>
                    <w:widowControl/>
                    <w:jc w:val="left"/>
                    <w:textAlignment w:val="center"/>
                    <w:rPr>
                      <w:rFonts w:hAnsi="宋体"/>
                      <w:sz w:val="20"/>
                    </w:rPr>
                  </w:pPr>
                  <w:r>
                    <w:rPr>
                      <w:rFonts w:hint="eastAsia" w:hAnsi="宋体" w:cs="宋体"/>
                      <w:sz w:val="20"/>
                    </w:rPr>
                    <w:t>签收人：</w:t>
                  </w:r>
                </w:p>
              </w:tc>
            </w:tr>
          </w:tbl>
          <w:p>
            <w:pPr>
              <w:textAlignment w:val="bottom"/>
              <w:rPr>
                <w:rFonts w:ascii="仿宋" w:hAnsi="仿宋"/>
                <w:sz w:val="24"/>
              </w:rPr>
            </w:pPr>
          </w:p>
        </w:tc>
      </w:tr>
      <w:bookmarkEnd w:id="188"/>
    </w:tbl>
    <w:p>
      <w:pPr>
        <w:spacing w:line="400" w:lineRule="exact"/>
        <w:ind w:firstLine="680" w:firstLineChars="200"/>
        <w:rPr>
          <w:rFonts w:ascii="仿宋" w:hAnsi="仿宋" w:eastAsia="仿宋"/>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0000000C"/>
    <w:multiLevelType w:val="multilevel"/>
    <w:tmpl w:val="000000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0F560D"/>
    <w:multiLevelType w:val="singleLevel"/>
    <w:tmpl w:val="660F560D"/>
    <w:lvl w:ilvl="0" w:tentative="0">
      <w:start w:val="7"/>
      <w:numFmt w:val="chineseCount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9F1A499"/>
    <w:multiLevelType w:val="singleLevel"/>
    <w:tmpl w:val="79F1A499"/>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xYzM5MzE4MDExNDAyYzdlMDkyOWJlNzFmZjQ2NzAifQ=="/>
  </w:docVars>
  <w:rsids>
    <w:rsidRoot w:val="00AE2CE9"/>
    <w:rsid w:val="000F2924"/>
    <w:rsid w:val="001E7447"/>
    <w:rsid w:val="003A3069"/>
    <w:rsid w:val="006C44A7"/>
    <w:rsid w:val="007049B2"/>
    <w:rsid w:val="00776FFE"/>
    <w:rsid w:val="007D3026"/>
    <w:rsid w:val="00806EE5"/>
    <w:rsid w:val="00AD74CD"/>
    <w:rsid w:val="00AE2CE9"/>
    <w:rsid w:val="00B26D21"/>
    <w:rsid w:val="00BD1644"/>
    <w:rsid w:val="00BE2AC8"/>
    <w:rsid w:val="00D64CDF"/>
    <w:rsid w:val="00D85D00"/>
    <w:rsid w:val="00FC51F7"/>
    <w:rsid w:val="34B4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17" w:lineRule="auto"/>
      <w:outlineLvl w:val="6"/>
    </w:pPr>
    <w:rPr>
      <w:b/>
      <w:sz w:val="24"/>
    </w:rPr>
  </w:style>
  <w:style w:type="paragraph" w:styleId="10">
    <w:name w:val="heading 8"/>
    <w:basedOn w:val="1"/>
    <w:next w:val="7"/>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17" w:lineRule="auto"/>
      <w:outlineLvl w:val="8"/>
    </w:pPr>
    <w:rPr>
      <w:rFonts w:ascii="Arial" w:hAnsi="Arial" w:eastAsia="黑体"/>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12">
    <w:name w:val="Document Map"/>
    <w:basedOn w:val="1"/>
    <w:qFormat/>
    <w:uiPriority w:val="0"/>
    <w:pPr>
      <w:shd w:val="clear" w:color="auto" w:fill="000080"/>
    </w:pPr>
  </w:style>
  <w:style w:type="paragraph" w:styleId="13">
    <w:name w:val="annotation text"/>
    <w:basedOn w:val="1"/>
    <w:link w:val="47"/>
    <w:qFormat/>
    <w:uiPriority w:val="0"/>
    <w:pPr>
      <w:jc w:val="left"/>
    </w:pPr>
    <w:rPr>
      <w:kern w:val="2"/>
      <w:sz w:val="21"/>
      <w:szCs w:val="24"/>
    </w:rPr>
  </w:style>
  <w:style w:type="paragraph" w:styleId="14">
    <w:name w:val="Body Text 3"/>
    <w:basedOn w:val="1"/>
    <w:qFormat/>
    <w:uiPriority w:val="0"/>
    <w:pPr>
      <w:spacing w:line="500" w:lineRule="exact"/>
    </w:pPr>
    <w:rPr>
      <w:b/>
      <w:bCs/>
      <w:sz w:val="24"/>
    </w:rPr>
  </w:style>
  <w:style w:type="paragraph" w:styleId="15">
    <w:name w:val="Body Text"/>
    <w:basedOn w:val="1"/>
    <w:qFormat/>
    <w:uiPriority w:val="0"/>
    <w:pPr>
      <w:spacing w:after="120"/>
    </w:pPr>
  </w:style>
  <w:style w:type="paragraph" w:styleId="16">
    <w:name w:val="Body Text Indent"/>
    <w:basedOn w:val="1"/>
    <w:qFormat/>
    <w:uiPriority w:val="0"/>
    <w:pPr>
      <w:ind w:firstLine="630"/>
    </w:pPr>
    <w:rPr>
      <w:sz w:val="32"/>
    </w:rPr>
  </w:style>
  <w:style w:type="paragraph" w:styleId="17">
    <w:name w:val="Block Text"/>
    <w:basedOn w:val="1"/>
    <w:qFormat/>
    <w:uiPriority w:val="0"/>
    <w:pPr>
      <w:spacing w:line="400" w:lineRule="exact"/>
      <w:ind w:left="-359" w:leftChars="-171" w:right="-687" w:rightChars="-327" w:firstLine="720"/>
    </w:pPr>
    <w:rPr>
      <w:rFonts w:hAnsi="宋体"/>
      <w:sz w:val="28"/>
    </w:rPr>
  </w:style>
  <w:style w:type="paragraph" w:styleId="18">
    <w:name w:val="Plain Text"/>
    <w:basedOn w:val="1"/>
    <w:qFormat/>
    <w:uiPriority w:val="0"/>
    <w:rPr>
      <w:rFonts w:hAnsi="Courier New" w:cs="Courier New"/>
      <w:szCs w:val="21"/>
    </w:rPr>
  </w:style>
  <w:style w:type="paragraph" w:styleId="19">
    <w:name w:val="Date"/>
    <w:basedOn w:val="1"/>
    <w:next w:val="1"/>
    <w:qFormat/>
    <w:uiPriority w:val="0"/>
    <w:rPr>
      <w:rFonts w:eastAsia="黑体"/>
      <w:sz w:val="36"/>
    </w:rPr>
  </w:style>
  <w:style w:type="paragraph" w:styleId="20">
    <w:name w:val="Body Text Indent 2"/>
    <w:basedOn w:val="1"/>
    <w:qFormat/>
    <w:uiPriority w:val="0"/>
    <w:pPr>
      <w:ind w:firstLine="630"/>
    </w:pPr>
    <w:rPr>
      <w:sz w:val="32"/>
    </w:rPr>
  </w:style>
  <w:style w:type="paragraph" w:styleId="21">
    <w:name w:val="Balloon Text"/>
    <w:basedOn w:val="1"/>
    <w:link w:val="51"/>
    <w:qFormat/>
    <w:uiPriority w:val="0"/>
    <w:rPr>
      <w:kern w:val="2"/>
      <w:sz w:val="18"/>
      <w:szCs w:val="18"/>
    </w:rPr>
  </w:style>
  <w:style w:type="paragraph" w:styleId="22">
    <w:name w:val="footer"/>
    <w:basedOn w:val="1"/>
    <w:autoRedefine/>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0"/>
  </w:style>
  <w:style w:type="paragraph" w:styleId="25">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6">
    <w:name w:val="Body Text 2"/>
    <w:basedOn w:val="1"/>
    <w:qFormat/>
    <w:uiPriority w:val="0"/>
    <w:pPr>
      <w:spacing w:after="120" w:line="480" w:lineRule="auto"/>
    </w:pPr>
  </w:style>
  <w:style w:type="paragraph" w:styleId="27">
    <w:name w:val="Normal (Web)"/>
    <w:basedOn w:val="1"/>
    <w:qFormat/>
    <w:uiPriority w:val="0"/>
    <w:pPr>
      <w:widowControl/>
      <w:spacing w:before="100" w:beforeAutospacing="1" w:after="100" w:afterAutospacing="1"/>
      <w:jc w:val="left"/>
    </w:pPr>
    <w:rPr>
      <w:rFonts w:hAnsi="宋体"/>
      <w:sz w:val="18"/>
      <w:szCs w:val="18"/>
    </w:rPr>
  </w:style>
  <w:style w:type="paragraph" w:styleId="28">
    <w:name w:val="Title"/>
    <w:basedOn w:val="1"/>
    <w:next w:val="1"/>
    <w:link w:val="53"/>
    <w:qFormat/>
    <w:uiPriority w:val="99"/>
    <w:pPr>
      <w:spacing w:before="240" w:after="60"/>
      <w:jc w:val="center"/>
      <w:outlineLvl w:val="0"/>
    </w:pPr>
    <w:rPr>
      <w:rFonts w:ascii="Cambria" w:hAnsi="Cambria"/>
      <w:b/>
      <w:bCs/>
      <w:sz w:val="32"/>
      <w:szCs w:val="32"/>
    </w:rPr>
  </w:style>
  <w:style w:type="paragraph" w:styleId="29">
    <w:name w:val="annotation subject"/>
    <w:basedOn w:val="13"/>
    <w:next w:val="13"/>
    <w:link w:val="46"/>
    <w:qFormat/>
    <w:uiPriority w:val="0"/>
    <w:rPr>
      <w:b/>
      <w:bCs/>
    </w:rPr>
  </w:style>
  <w:style w:type="paragraph" w:styleId="30">
    <w:name w:val="Body Text First Indent"/>
    <w:basedOn w:val="15"/>
    <w:qFormat/>
    <w:uiPriority w:val="0"/>
    <w:pPr>
      <w:ind w:firstLine="420" w:firstLineChars="100"/>
    </w:pPr>
  </w:style>
  <w:style w:type="table" w:styleId="32">
    <w:name w:val="Table Grid"/>
    <w:basedOn w:val="31"/>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autoRedefine/>
    <w:qFormat/>
    <w:uiPriority w:val="22"/>
    <w:rPr>
      <w:b/>
      <w:bCs/>
    </w:rPr>
  </w:style>
  <w:style w:type="character" w:styleId="35">
    <w:name w:val="page number"/>
    <w:basedOn w:val="33"/>
    <w:autoRedefine/>
    <w:qFormat/>
    <w:uiPriority w:val="0"/>
  </w:style>
  <w:style w:type="character" w:styleId="36">
    <w:name w:val="FollowedHyperlink"/>
    <w:qFormat/>
    <w:uiPriority w:val="0"/>
    <w:rPr>
      <w:color w:val="800080"/>
      <w:u w:val="single"/>
    </w:rPr>
  </w:style>
  <w:style w:type="character" w:styleId="37">
    <w:name w:val="Hyperlink"/>
    <w:basedOn w:val="33"/>
    <w:autoRedefine/>
    <w:qFormat/>
    <w:uiPriority w:val="99"/>
    <w:rPr>
      <w:color w:val="0000FF"/>
      <w:u w:val="single"/>
    </w:rPr>
  </w:style>
  <w:style w:type="character" w:styleId="38">
    <w:name w:val="annotation reference"/>
    <w:autoRedefine/>
    <w:qFormat/>
    <w:uiPriority w:val="0"/>
    <w:rPr>
      <w:sz w:val="21"/>
    </w:rPr>
  </w:style>
  <w:style w:type="character" w:customStyle="1" w:styleId="39">
    <w:name w:val="unnamed31"/>
    <w:autoRedefine/>
    <w:qFormat/>
    <w:uiPriority w:val="0"/>
    <w:rPr>
      <w:sz w:val="22"/>
      <w:szCs w:val="22"/>
    </w:rPr>
  </w:style>
  <w:style w:type="character" w:customStyle="1" w:styleId="40">
    <w:name w:val="标题 Char1"/>
    <w:qFormat/>
    <w:uiPriority w:val="0"/>
    <w:rPr>
      <w:rFonts w:ascii="Cambria" w:hAnsi="Cambria" w:cs="Times New Roman"/>
      <w:b/>
      <w:bCs/>
      <w:kern w:val="2"/>
      <w:sz w:val="32"/>
      <w:szCs w:val="32"/>
    </w:rPr>
  </w:style>
  <w:style w:type="character" w:customStyle="1" w:styleId="41">
    <w:name w:val="font111"/>
    <w:qFormat/>
    <w:uiPriority w:val="0"/>
    <w:rPr>
      <w:rFonts w:hint="default" w:ascii="Eʩ" w:hAnsi="Eʩ" w:eastAsia="Eʩ" w:cs="Eʩ"/>
      <w:color w:val="000000"/>
      <w:sz w:val="21"/>
      <w:szCs w:val="21"/>
      <w:u w:val="single"/>
    </w:rPr>
  </w:style>
  <w:style w:type="character" w:customStyle="1" w:styleId="42">
    <w:name w:val="font31"/>
    <w:qFormat/>
    <w:uiPriority w:val="0"/>
    <w:rPr>
      <w:rFonts w:hint="eastAsia" w:ascii="宋体" w:hAnsi="宋体" w:eastAsia="宋体" w:cs="宋体"/>
      <w:color w:val="000000"/>
      <w:sz w:val="21"/>
      <w:szCs w:val="21"/>
      <w:u w:val="none"/>
    </w:rPr>
  </w:style>
  <w:style w:type="character" w:customStyle="1" w:styleId="43">
    <w:name w:val="Char Char Char"/>
    <w:autoRedefine/>
    <w:qFormat/>
    <w:uiPriority w:val="0"/>
    <w:rPr>
      <w:rFonts w:eastAsia="宋体"/>
      <w:b/>
      <w:kern w:val="2"/>
      <w:sz w:val="32"/>
      <w:lang w:val="en-US" w:eastAsia="zh-CN" w:bidi="ar-SA"/>
    </w:rPr>
  </w:style>
  <w:style w:type="character" w:customStyle="1" w:styleId="44">
    <w:name w:val="font101"/>
    <w:qFormat/>
    <w:uiPriority w:val="0"/>
    <w:rPr>
      <w:rFonts w:hint="eastAsia" w:ascii="宋体" w:hAnsi="宋体" w:eastAsia="宋体" w:cs="宋体"/>
      <w:color w:val="000000"/>
      <w:sz w:val="21"/>
      <w:szCs w:val="21"/>
      <w:u w:val="single"/>
    </w:rPr>
  </w:style>
  <w:style w:type="character" w:customStyle="1" w:styleId="45">
    <w:name w:val="textnorm_chn1"/>
    <w:autoRedefine/>
    <w:qFormat/>
    <w:uiPriority w:val="0"/>
    <w:rPr>
      <w:rFonts w:hint="default" w:ascii="Arial" w:hAnsi="Arial" w:cs="Arial"/>
      <w:color w:val="21254A"/>
      <w:sz w:val="22"/>
      <w:szCs w:val="22"/>
    </w:rPr>
  </w:style>
  <w:style w:type="character" w:customStyle="1" w:styleId="46">
    <w:name w:val="批注主题 字符"/>
    <w:link w:val="29"/>
    <w:qFormat/>
    <w:uiPriority w:val="0"/>
    <w:rPr>
      <w:b/>
      <w:bCs/>
      <w:kern w:val="2"/>
      <w:sz w:val="21"/>
      <w:szCs w:val="24"/>
    </w:rPr>
  </w:style>
  <w:style w:type="character" w:customStyle="1" w:styleId="47">
    <w:name w:val="批注文字 字符"/>
    <w:link w:val="13"/>
    <w:autoRedefine/>
    <w:qFormat/>
    <w:uiPriority w:val="0"/>
    <w:rPr>
      <w:kern w:val="2"/>
      <w:sz w:val="21"/>
      <w:szCs w:val="24"/>
    </w:rPr>
  </w:style>
  <w:style w:type="character" w:customStyle="1" w:styleId="48">
    <w:name w:val="font91"/>
    <w:basedOn w:val="33"/>
    <w:qFormat/>
    <w:uiPriority w:val="0"/>
    <w:rPr>
      <w:rFonts w:hint="eastAsia" w:ascii="宋体" w:hAnsi="宋体" w:eastAsia="宋体" w:cs="宋体"/>
      <w:color w:val="FF0000"/>
      <w:sz w:val="21"/>
      <w:szCs w:val="21"/>
      <w:u w:val="single"/>
    </w:rPr>
  </w:style>
  <w:style w:type="character" w:customStyle="1" w:styleId="49">
    <w:name w:val="正文首行缩进两字符 Char Char"/>
    <w:qFormat/>
    <w:uiPriority w:val="0"/>
    <w:rPr>
      <w:rFonts w:eastAsia="宋体"/>
      <w:kern w:val="2"/>
      <w:sz w:val="21"/>
      <w:szCs w:val="24"/>
      <w:lang w:val="en-US" w:eastAsia="zh-CN" w:bidi="ar-SA"/>
    </w:rPr>
  </w:style>
  <w:style w:type="character" w:customStyle="1" w:styleId="50">
    <w:name w:val="标题 2 字符"/>
    <w:link w:val="3"/>
    <w:autoRedefine/>
    <w:qFormat/>
    <w:uiPriority w:val="0"/>
    <w:rPr>
      <w:rFonts w:ascii="Arial" w:hAnsi="Arial" w:eastAsia="黑体"/>
      <w:b/>
      <w:bCs/>
      <w:kern w:val="2"/>
      <w:sz w:val="32"/>
      <w:szCs w:val="32"/>
    </w:rPr>
  </w:style>
  <w:style w:type="character" w:customStyle="1" w:styleId="51">
    <w:name w:val="批注框文本 字符"/>
    <w:link w:val="21"/>
    <w:qFormat/>
    <w:uiPriority w:val="0"/>
    <w:rPr>
      <w:kern w:val="2"/>
      <w:sz w:val="18"/>
      <w:szCs w:val="18"/>
    </w:rPr>
  </w:style>
  <w:style w:type="character" w:customStyle="1" w:styleId="52">
    <w:name w:val="标题 3 Char Char Char"/>
    <w:qFormat/>
    <w:uiPriority w:val="0"/>
    <w:rPr>
      <w:rFonts w:eastAsia="宋体"/>
      <w:b/>
      <w:kern w:val="2"/>
      <w:sz w:val="32"/>
      <w:lang w:val="en-US" w:eastAsia="zh-CN" w:bidi="ar-SA"/>
    </w:rPr>
  </w:style>
  <w:style w:type="character" w:customStyle="1" w:styleId="53">
    <w:name w:val="标题 字符"/>
    <w:link w:val="28"/>
    <w:qFormat/>
    <w:uiPriority w:val="99"/>
    <w:rPr>
      <w:rFonts w:ascii="Cambria" w:hAnsi="Cambria"/>
      <w:b/>
      <w:bCs/>
      <w:sz w:val="32"/>
      <w:szCs w:val="32"/>
    </w:rPr>
  </w:style>
  <w:style w:type="paragraph" w:customStyle="1" w:styleId="54">
    <w:name w:val="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55">
    <w:name w:val="正文 New"/>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56">
    <w:name w:val="Char Char1 Char Char Char Char"/>
    <w:basedOn w:val="1"/>
    <w:qFormat/>
    <w:uiPriority w:val="0"/>
  </w:style>
  <w:style w:type="paragraph" w:customStyle="1" w:styleId="57">
    <w:name w:val="Char1"/>
    <w:basedOn w:val="1"/>
    <w:qFormat/>
    <w:uiPriority w:val="0"/>
    <w:rPr>
      <w:rFonts w:ascii="仿宋_GB2312" w:eastAsia="仿宋_GB2312"/>
      <w:b/>
      <w:sz w:val="32"/>
      <w:szCs w:val="32"/>
    </w:rPr>
  </w:style>
  <w:style w:type="paragraph" w:customStyle="1" w:styleId="58">
    <w:name w:val="纯文本1"/>
    <w:basedOn w:val="1"/>
    <w:qFormat/>
    <w:uiPriority w:val="0"/>
    <w:pPr>
      <w:adjustRightInd w:val="0"/>
      <w:textAlignment w:val="baseline"/>
    </w:pPr>
    <w:rPr>
      <w:rFonts w:hAnsi="Courier New"/>
    </w:rPr>
  </w:style>
  <w:style w:type="paragraph" w:customStyle="1" w:styleId="59">
    <w:name w:val="样式1"/>
    <w:basedOn w:val="1"/>
    <w:qFormat/>
    <w:uiPriority w:val="0"/>
    <w:pPr>
      <w:adjustRightInd w:val="0"/>
      <w:spacing w:line="420" w:lineRule="auto"/>
      <w:jc w:val="center"/>
      <w:textAlignment w:val="baseline"/>
    </w:pPr>
    <w:rPr>
      <w:sz w:val="24"/>
    </w:rPr>
  </w:style>
  <w:style w:type="paragraph" w:customStyle="1" w:styleId="60">
    <w:name w:val="列表段落1"/>
    <w:basedOn w:val="1"/>
    <w:qFormat/>
    <w:uiPriority w:val="99"/>
    <w:pPr>
      <w:ind w:firstLine="420" w:firstLineChars="200"/>
    </w:pPr>
  </w:style>
  <w:style w:type="paragraph" w:customStyle="1" w:styleId="61">
    <w:name w:val="Table Text"/>
    <w:basedOn w:val="1"/>
    <w:qFormat/>
    <w:uiPriority w:val="0"/>
    <w:pPr>
      <w:widowControl/>
      <w:spacing w:before="60" w:after="60"/>
      <w:jc w:val="left"/>
    </w:pPr>
  </w:style>
  <w:style w:type="paragraph" w:customStyle="1" w:styleId="62">
    <w:name w:val="正文文本 21"/>
    <w:basedOn w:val="1"/>
    <w:qFormat/>
    <w:uiPriority w:val="0"/>
    <w:pPr>
      <w:adjustRightInd w:val="0"/>
      <w:spacing w:line="300" w:lineRule="auto"/>
      <w:jc w:val="center"/>
      <w:textAlignment w:val="baseline"/>
    </w:pPr>
    <w:rPr>
      <w:rFonts w:hAnsi="宋体"/>
      <w:sz w:val="24"/>
    </w:rPr>
  </w:style>
  <w:style w:type="paragraph" w:customStyle="1" w:styleId="6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Char2"/>
    <w:basedOn w:val="1"/>
    <w:qFormat/>
    <w:uiPriority w:val="0"/>
  </w:style>
  <w:style w:type="paragraph" w:customStyle="1" w:styleId="65">
    <w:name w:val="正文首行缩进两字符"/>
    <w:basedOn w:val="1"/>
    <w:qFormat/>
    <w:uiPriority w:val="0"/>
    <w:pPr>
      <w:spacing w:line="360" w:lineRule="auto"/>
      <w:ind w:firstLine="200" w:firstLineChars="200"/>
    </w:pPr>
  </w:style>
  <w:style w:type="paragraph" w:customStyle="1" w:styleId="66">
    <w:name w:val="Char Char Char 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67">
    <w:name w:val="样式 首行缩进:  2 字符"/>
    <w:basedOn w:val="1"/>
    <w:autoRedefine/>
    <w:qFormat/>
    <w:uiPriority w:val="0"/>
    <w:pPr>
      <w:spacing w:line="400" w:lineRule="exact"/>
      <w:ind w:firstLine="200" w:firstLineChars="200"/>
    </w:pPr>
    <w:rPr>
      <w:rFonts w:cs="宋体"/>
      <w:sz w:val="24"/>
    </w:rPr>
  </w:style>
  <w:style w:type="paragraph" w:customStyle="1" w:styleId="68">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69">
    <w:name w:val="默认段落字体 Para Char Char Char Char Char Char Char Char Char1 Char Char Char Char"/>
    <w:basedOn w:val="1"/>
    <w:autoRedefine/>
    <w:qFormat/>
    <w:uiPriority w:val="0"/>
    <w:rPr>
      <w:rFonts w:ascii="Tahoma" w:hAnsi="Tahoma"/>
      <w:sz w:val="24"/>
    </w:rPr>
  </w:style>
  <w:style w:type="paragraph" w:customStyle="1" w:styleId="70">
    <w:name w:val="plaintext"/>
    <w:basedOn w:val="1"/>
    <w:autoRedefine/>
    <w:qFormat/>
    <w:uiPriority w:val="0"/>
    <w:pPr>
      <w:widowControl/>
      <w:spacing w:before="100" w:beforeAutospacing="1" w:after="100" w:afterAutospacing="1"/>
      <w:jc w:val="left"/>
    </w:pPr>
    <w:rPr>
      <w:rFonts w:hAnsi="宋体"/>
      <w:sz w:val="24"/>
    </w:rPr>
  </w:style>
  <w:style w:type="paragraph" w:customStyle="1" w:styleId="71">
    <w:name w:val="table head"/>
    <w:basedOn w:val="1"/>
    <w:qFormat/>
    <w:uiPriority w:val="0"/>
    <w:pPr>
      <w:keepNext/>
      <w:keepLines/>
      <w:adjustRightInd w:val="0"/>
      <w:spacing w:line="312" w:lineRule="atLeast"/>
      <w:jc w:val="center"/>
      <w:textAlignment w:val="baseline"/>
    </w:pPr>
    <w:rPr>
      <w:b/>
    </w:rPr>
  </w:style>
  <w:style w:type="paragraph" w:customStyle="1" w:styleId="72">
    <w:name w:val="章标题"/>
    <w:next w:val="1"/>
    <w:autoRedefine/>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73">
    <w:name w:val="修订1"/>
    <w:qFormat/>
    <w:uiPriority w:val="0"/>
    <w:rPr>
      <w:rFonts w:ascii="Times New Roman" w:hAnsi="Times New Roman" w:eastAsia="宋体" w:cs="Times New Roman"/>
      <w:kern w:val="2"/>
      <w:sz w:val="21"/>
      <w:szCs w:val="24"/>
      <w:lang w:val="en-US" w:eastAsia="zh-CN" w:bidi="ar-SA"/>
    </w:rPr>
  </w:style>
  <w:style w:type="paragraph" w:customStyle="1" w:styleId="74">
    <w:name w:val="Char2 Char Char Char"/>
    <w:basedOn w:val="1"/>
    <w:qFormat/>
    <w:uiPriority w:val="0"/>
    <w:rPr>
      <w:rFonts w:ascii="仿宋_GB2312" w:eastAsia="仿宋_GB2312"/>
      <w:b/>
      <w:sz w:val="32"/>
      <w:szCs w:val="32"/>
    </w:rPr>
  </w:style>
  <w:style w:type="paragraph" w:customStyle="1" w:styleId="7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
    <w:name w:val="表格"/>
    <w:basedOn w:val="1"/>
    <w:autoRedefine/>
    <w:qFormat/>
    <w:uiPriority w:val="0"/>
    <w:pPr>
      <w:spacing w:line="400" w:lineRule="exact"/>
    </w:pPr>
    <w:rPr>
      <w:sz w:val="24"/>
    </w:rPr>
  </w:style>
  <w:style w:type="paragraph" w:customStyle="1" w:styleId="7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8">
    <w:name w:val="Char Char Char Char Char Char1 Char"/>
    <w:basedOn w:val="12"/>
    <w:qFormat/>
    <w:uiPriority w:val="0"/>
    <w:rPr>
      <w:rFonts w:ascii="Tahoma" w:hAnsi="Tahoma"/>
      <w:sz w:val="24"/>
      <w:szCs w:val="24"/>
    </w:rPr>
  </w:style>
  <w:style w:type="paragraph" w:customStyle="1" w:styleId="79">
    <w:name w:val="Char11"/>
    <w:basedOn w:val="1"/>
    <w:qFormat/>
    <w:uiPriority w:val="0"/>
    <w:rPr>
      <w:szCs w:val="21"/>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2">
    <w:name w:val="正文缩进1"/>
    <w:basedOn w:val="1"/>
    <w:next w:val="1"/>
    <w:qFormat/>
    <w:uiPriority w:val="0"/>
    <w:pPr>
      <w:widowControl/>
      <w:ind w:firstLine="420"/>
    </w:pPr>
    <w:rPr>
      <w:color w:val="000000"/>
    </w:rPr>
  </w:style>
  <w:style w:type="paragraph" w:customStyle="1" w:styleId="83">
    <w:name w:val="Char Char Char Char Char Char"/>
    <w:basedOn w:val="1"/>
    <w:qFormat/>
    <w:uiPriority w:val="0"/>
    <w:rPr>
      <w:rFonts w:ascii="Tahoma" w:hAnsi="Tahoma"/>
      <w:sz w:val="24"/>
    </w:rPr>
  </w:style>
  <w:style w:type="paragraph" w:customStyle="1" w:styleId="84">
    <w:name w:val="正文2"/>
    <w:autoRedefine/>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85">
    <w:name w:val="正文1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86">
    <w:name w:val="列出段落2"/>
    <w:basedOn w:val="1"/>
    <w:qFormat/>
    <w:uiPriority w:val="99"/>
    <w:pPr>
      <w:ind w:firstLine="420" w:firstLineChars="200"/>
    </w:pPr>
    <w:rPr>
      <w:szCs w:val="21"/>
    </w:rPr>
  </w:style>
  <w:style w:type="paragraph" w:customStyle="1" w:styleId="87">
    <w:name w:val="修订2"/>
    <w:hidden/>
    <w:unhideWhenUsed/>
    <w:qFormat/>
    <w:uiPriority w:val="99"/>
    <w:rPr>
      <w:rFonts w:ascii="宋体" w:hAnsi="Times New Roman" w:eastAsia="宋体" w:cs="Times New Roman"/>
      <w:sz w:val="34"/>
      <w:lang w:val="en-US" w:eastAsia="zh-CN" w:bidi="ar-SA"/>
    </w:rPr>
  </w:style>
  <w:style w:type="paragraph" w:customStyle="1" w:styleId="88">
    <w:name w:val="xl24"/>
    <w:basedOn w:val="1"/>
    <w:qFormat/>
    <w:uiPriority w:val="0"/>
    <w:pPr>
      <w:widowControl/>
      <w:spacing w:before="100" w:beforeAutospacing="1" w:after="100" w:afterAutospacing="1"/>
    </w:pPr>
    <w:rPr>
      <w:rFonts w:hAnsi="宋体"/>
      <w:sz w:val="24"/>
    </w:rPr>
  </w:style>
  <w:style w:type="paragraph" w:customStyle="1" w:styleId="89">
    <w:name w:val="content"/>
    <w:basedOn w:val="1"/>
    <w:qFormat/>
    <w:uiPriority w:val="0"/>
    <w:pPr>
      <w:widowControl/>
      <w:spacing w:line="300" w:lineRule="auto"/>
    </w:pPr>
    <w:rPr>
      <w:rFonts w:ascii="华文仿宋" w:hAnsi="华文仿宋" w:eastAsia="华文仿宋" w:cs="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2242</Words>
  <Characters>12783</Characters>
  <Lines>106</Lines>
  <Paragraphs>29</Paragraphs>
  <TotalTime>40</TotalTime>
  <ScaleCrop>false</ScaleCrop>
  <LinksUpToDate>false</LinksUpToDate>
  <CharactersWithSpaces>14996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2017-12-14T10:41:00Z</dcterms:created>
  <dc:creator>USER</dc:creator>
  <cp:lastModifiedBy>百岁山</cp:lastModifiedBy>
  <cp:lastPrinted>2012-08-20T10:39:00Z</cp:lastPrinted>
  <dcterms:modified xsi:type="dcterms:W3CDTF">2024-04-28T01:13:55Z</dcterms:modified>
  <dc:title>省财政厅关于印发四川省政府采购通用货物和服务招标文件范本的通知</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9B0037363B4449D5A7A01F18203B36F5</vt:lpwstr>
  </property>
</Properties>
</file>